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SchulG (Nordrhein-Westfalen) — Zuwendungen</w:t>
      </w:r>
    </w:p>
    <w:p>
      <w:r>
        <w:rPr>
          <w:color w:val="555555"/>
          <w:sz w:val="18"/>
        </w:rPr>
        <w:t xml:space="preserve">Schulgesetz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Schulen können für den Schulträger bei der Erfüllung ihrer Aufgaben durch Sach- und Geldzuwendungen Dritter unterstützt werden. Der Schulträger stellt sicher, dass einzelne Schulen nicht unangemessen bevorzugt oder benachteiligt werden.</w:t>
      </w:r>
    </w:p>
    <w:p>
      <w:r>
        <w:t xml:space="preserve">(2) Zuwendungen entbinden den Schulträger nicht von seinen finanziellen Verpflichtungen nach diesem Gesetz.</w:t>
      </w:r>
    </w:p>
    <w:p>
      <w:r>
        <w:rPr>
          <w:color w:val="555555"/>
          <w:sz w:val="17"/>
        </w:rPr>
        <w:t xml:space="preserve">Zitiervorschlag: § 98 SchulG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https://recht.nulegal.eu/gesetze/SchulG/98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