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SchulG (Nordrhein-Westfalen) — Bewirtschaftung von Schulmitteln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kann den Schulen nach Maßgabe des Haushalts im Rahmen des § 92 Abs. 2 Personalmittel zur eigenverantwortlichen Bewirtschaftung zuweisen.</w:t>
      </w:r>
    </w:p>
    <w:p>
      <w:r>
        <w:t xml:space="preserve">(2) Die eigenverantwortliche Bewirtschaftung von Sachmitteln durch die Schulen richtet sich nach den für den Schulträger geltenden haushalts- und kassenrechtlichen Regelungen. Insoweit können Schulträger die Schulleiterin oder den Schulleiter ermächtigen, im Rahmen der von der Schule zu bewirtschaftenden Haushaltsmittel Rechtsgeschäfte mit Wirkung für den Schulträger abzuschließen und für diesen Verpflichtungen einzugehen.</w:t>
      </w:r>
    </w:p>
    <w:p>
      <w:r>
        <w:t xml:space="preserve">(3) Schulträger können zur Erleichterung der Mittelbewirtschaftung durch die Schulen Schulgirokonten einrichten. Diesen Konten können auch zusätzliche eigene Einnahmen der Schulen zugeführt werden. Mit Zustimmung des Schulträgers können diese Konten auch für die Verwaltung von treuhänderischen Geldern genutzt werden.</w:t>
      </w:r>
    </w:p>
    <w:p>
      <w:r>
        <w:rPr>
          <w:color w:val="555555"/>
          <w:sz w:val="17"/>
        </w:rPr>
        <w:t xml:space="preserve">Zitiervorschlag: § 95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