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SchulG (Nordrhein-Westfalen) — Schulaufsichtsbehörden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Oberste Schulaufsichtsbehörde ist das Ministerium. Es nimmt für das Land die Schulaufsicht über das gesamte Schulwesen wahr und entscheidet über Angelegenheiten von grundsätzlicher Bedeutung. Es sichert die landeseinheitlichen Grundlagen für die pädagogische und organisatorische Arbeit der Schulen und für ein leistungsfähiges Schulwesen.</w:t>
      </w:r>
    </w:p>
    <w:p>
      <w:r>
        <w:t xml:space="preserve">(2) Obere Schulaufsichtsbehörde ist die Bezirksregierung. Sie nimmt in ihrem Gebiet die Schulaufsicht über die Schulen, die besonderen Einrichtungen sowie die Zentren für schulpraktische Lehrerausbildung nach dem Lehrerausbildungsgesetz wahr.</w:t>
      </w:r>
    </w:p>
    <w:p>
      <w:r>
        <w:t xml:space="preserve">(3) Untere Schulaufsichtsbehörde ist das staatliche Schulamt. Es ist der kreisfreien Stadt oder dem Kreis zugeordnet. Es nimmt in seinem Gebiet die Schulaufsicht über die Grundschulen wahr und die Fachaufsicht über</w:t>
      </w:r>
    </w:p>
    <w:p>
      <w:r>
        <w:t xml:space="preserve">1. die Hauptschulen,</w:t>
      </w:r>
    </w:p>
    <w:p>
      <w:r>
        <w:t xml:space="preserve">2. die Förderschulen mit einem der Förderschwerpunkte Lernen, Sprache, emotionale und soziale Entwicklung, geistige Entwicklung sowie körperliche und motorische Entwicklung mit Ausnahme der Förderschulen im Bildungsbereich der Realschule, des Gymnasiums und des Berufskollegs,</w:t>
      </w:r>
    </w:p>
    <w:p>
      <w:r>
        <w:t xml:space="preserve">3. die Förderschulen im Verbund (§ 20 Absatz 7), sofern sie nicht im Bildungsbereich der Realschule, des Gymnasiums oder des Berufskollegs unterrichten oder einen der Förderschwerpunkte Hören und Kommunikation oder Sehen umfassen.</w:t>
      </w:r>
    </w:p>
    <w:p>
      <w:r>
        <w:t xml:space="preserve">(4) Die Schulaufsichtsbehörden und die Schulträger sollen eng zusammenarbeiten und sich dabei insbesondere gegenseitig und rechtzeitig über Maßnahmen mit Auswirkungen auf den jeweils anderen Bereich informieren.</w:t>
      </w:r>
    </w:p>
    <w:p>
      <w:r>
        <w:rPr>
          <w:color w:val="555555"/>
          <w:sz w:val="17"/>
        </w:rPr>
        <w:t xml:space="preserve">Zitiervorschlag: § 88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