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SchulG (Nordrhein-Westfalen) — Mitwirkung beim Ministerium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schulischen Angelegenheiten von allgemeiner und grundsätzlicher Bedeutung beteiligt das Ministerium die am Schulleben beteiligten Verbände und Organisationen.</w:t>
      </w:r>
    </w:p>
    <w:p>
      <w:r>
        <w:t xml:space="preserve">(2) Die Beteiligung erstreckt sich insbesondere auf</w:t>
      </w:r>
    </w:p>
    <w:p>
      <w:r>
        <w:t xml:space="preserve">1. Änderungen dieses Gesetzes,</w:t>
      </w:r>
    </w:p>
    <w:p>
      <w:r>
        <w:t xml:space="preserve">2. Richtlinien und Lehrpläne,</w:t>
      </w:r>
    </w:p>
    <w:p>
      <w:r>
        <w:t xml:space="preserve">3. Ausbildungs- und Prüfungsordnungen,</w:t>
      </w:r>
    </w:p>
    <w:p>
      <w:r>
        <w:t xml:space="preserve">4. Schulversuche,</w:t>
      </w:r>
    </w:p>
    <w:p>
      <w:r>
        <w:t xml:space="preserve">5. Regelungen über die Abstimmung zwischen schulischer und betrieblicher Ausbildung.</w:t>
      </w:r>
    </w:p>
    <w:p>
      <w:r>
        <w:t xml:space="preserve">(3) Zu beteiligen sind</w:t>
      </w:r>
    </w:p>
    <w:p>
      <w:r>
        <w:t xml:space="preserve">1. die Spitzenorganisationen der zuständigen Gewerkschaften und Berufsverbände im Lande im Sinne von § 93 Landesbeamtengesetz und § 53 Beamtenstatusgesetz,</w:t>
      </w:r>
    </w:p>
    <w:p>
      <w:r>
        <w:t xml:space="preserve">2. die auf Landesebene für mindestens eine Schulform organisierten Elternverbände,</w:t>
      </w:r>
    </w:p>
    <w:p>
      <w:r>
        <w:t xml:space="preserve">3. Zusammenschlüsse von Schülervertretungen, soweit sie auf Landesebene organisiert sind (Landesschülervertretung),</w:t>
      </w:r>
    </w:p>
    <w:p>
      <w:r>
        <w:t xml:space="preserve">4. Vereinigungen von Schulleiterinnen und Schulleitern von erheblicher Bedeutung,</w:t>
      </w:r>
    </w:p>
    <w:p>
      <w:r>
        <w:t xml:space="preserve">5. der Zusammenschluss der Industrie- und Handelskammern in Nordrhein-Westfalen, der Westdeutsche Handwerkskammertag und die Landesvereinigung der Unternehmensverbände Nordrhein-Westfalen,</w:t>
      </w:r>
    </w:p>
    <w:p>
      <w:r>
        <w:t xml:space="preserve">6. die Unfallkasse Nordrhein-Westfalen,</w:t>
      </w:r>
    </w:p>
    <w:p>
      <w:r>
        <w:t xml:space="preserve">7. die Kirchen,</w:t>
      </w:r>
    </w:p>
    <w:p>
      <w:r>
        <w:t xml:space="preserve">8. die überörtlichen Zusammenschlüsse der Träger der Ersatzschulen von erheblicher Bedeutung,</w:t>
      </w:r>
    </w:p>
    <w:p>
      <w:r>
        <w:t xml:space="preserve">9. die kommunalen Spitzenverbände,</w:t>
      </w:r>
    </w:p>
    <w:p>
      <w:r>
        <w:t xml:space="preserve">10. die landesweiten Zusammenschlüsse der Träger der freien Jugendhilfe, soweit Belange der Jugendhilfe berührt sind.</w:t>
      </w:r>
    </w:p>
    <w:p>
      <w:r>
        <w:t xml:space="preserve">(4) Das Ministerium lädt die Elternverbände nach Absatz 3 Nr. 2 mindestens halbjährlich zu einem Gespräch über schulische Angelegenheiten im Sinne des Absatzes 1 ein.</w:t>
      </w:r>
    </w:p>
    <w:p>
      <w:r>
        <w:t xml:space="preserve">Achter Teil</w:t>
      </w:r>
    </w:p>
    <w:p>
      <w:r>
        <w:t xml:space="preserve">Schulträger</w:t>
      </w:r>
    </w:p>
    <w:p>
      <w:r>
        <w:rPr>
          <w:color w:val="555555"/>
          <w:sz w:val="17"/>
        </w:rPr>
        <w:t xml:space="preserve">Zitiervorschlag: § 77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