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SchulG (Nordrhein-Westfalen) — Lehrerrat</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Lehrerkonferenz wählt in geheimer und unmittelbarer Wahl für die Dauer von vier Schuljahren einen Lehrerrat. Ihm gehören mindestens drei, höchstens fünf Lehrerinnen und Lehrer oder Mitarbeiterinnen und Mitarbeiter gemäß § 58 an. An Schulen mit nicht mehr als acht hauptamtlichen und hauptberuflichen Lehrerinnen und Lehrern oder Mitarbeiterinnen und Mitarbeitern gemäß § 58 kann die Anzahl der Mitglieder durch Beschluss der Lehrerkonferenz auf zwei vermindert werden. Die Lehrerkonferenz bestimmt für die Wahl eine Wahlleiterin oder einen Wahlleiter. Die Schulleiterin oder der Schulleiter ist von der Vorbereitung und Durchführung der Wahl ausgeschlossen; sie oder er ist nicht wahlberechtigt und nicht wählbar. Der Lehrerrat wählt aus seiner Mitte eine Person für den Vorsitz und eine Stellvertretung.</w:t>
      </w:r>
    </w:p>
    <w:p>
      <w:r>
        <w:t xml:space="preserve">(2) Der Lehrerrat berät die Schulleiterin oder den Schulleiter in Angelegenheiten der Lehrerinnen und Lehrer sowie der Mitarbeiterinnen und Mitarbeiter gemäß § 58 und vermittelt auf Wunsch in deren dienstlichen Angelegenheiten. Die Schulleiterin oder der Schulleiter ist verpflichtet, den Lehrerrat in allen Angelegenheiten der in Satz 1 genannten Personen zeitnah und umfassend zu unterrichten und anzuhören.</w:t>
      </w:r>
    </w:p>
    <w:p>
      <w:r>
        <w:t xml:space="preserve">(3) Soweit der Schulleiterin oder dem Schulleiter nach näherer Bestimmung durch Gesetz oder Rechtsverordnung Aufgaben des Dienstvorgesetzten übertragen worden sind, gelten die Schulen als Dienststellen im Sinne des Landespersonalvertretungsgesetzes. Ein Personalrat wird nicht gebildet. An seine Stelle tritt der Lehrerrat.</w:t>
      </w:r>
    </w:p>
    <w:p>
      <w:r>
        <w:t xml:space="preserve">(4) Für die Beteiligung des Lehrerrats an den Entscheidungen der Schulleiterin oder des Schulleiters gemäß Absatz 3 gelten §§ 62 bis 77 des Landespersonalvertretungsgesetzes entsprechend. Kommt eine Einigung über eine von der Schulleiterin oder dem Schulleiter beabsichtigte beteiligungspflichtige Maßnahme nicht zustande und hält sie oder er an der Maßnahme fest, so kann die Maßnahme unabhängig von der Beachtlichkeit der Ablehnungsgründe des Lehrerrats der jeweils nach § 89 Abs. 1 in Verbindung mit § 92 Satz 1 Nr. 2 des Landespersonalvertretungsgesetzes durch Rechtsverordnung bestimmten Dienststelle zur Durchführung eines Beteiligungsverfahrens vorgelegt werden. Dasselbe gilt für eine vom Lehrerrat beantragte, in der Entscheidungskompetenz der Schulleiterin oder des Schulleiters liegende mitbestimmungspflichtige Maßnahme, wenn ihr nicht entsprochen wird. §§ 7 Abs. 1, 33, 37 und 85 Abs. 4 des Landespersonalvertretungsgesetzes sind entsprechend anzuwenden.</w:t>
      </w:r>
    </w:p>
    <w:p>
      <w:r>
        <w:t xml:space="preserve">(5) Der Lehrerrat hat einmal im Schuljahr in der Lehrerkonferenz über seine Tätigkeit zu berichten.</w:t>
      </w:r>
    </w:p>
    <w:p>
      <w:r>
        <w:t xml:space="preserve">(6) Mitglieder des Lehrerrats sollen unter Berücksichtigung ihrer Aufgaben im Sinne des Absatzes 3 von der Unterrichtsverpflichtung angemessen entlastet werden. Näheres regelt die Verordnung zur Ausführung des § 93 Abs. 2 Schulgesetz. Den Mitgliedern des Lehrerrats ist die Teilnahme an geeigneten Fortbildungsmaßnahmen zu ermöglichen.</w:t>
      </w:r>
    </w:p>
    <w:p>
      <w:r>
        <w:t xml:space="preserve">(7) Legt ein Mitglied das Mandat nieder, endet die Mitgliedschaft. Wird durch Mandatsniederlegung die Mindestanzahl nach Absatz 1 Satz 2 oder 3 unterschritten und kann diese nicht durch den Eintritt eines Ersatzmitglieds gemäß § 64 Absatz 2 Satz 3 ausgeglichen werden, wählt die Lehrerkonferenz unverzüglich einen neuen Lehrerrat für den verbleibenden Zeitraum der Wahlperiode (Nachwahl). Der Lehrerrat nimmt seine Aufgaben weiterhin wahr, bis der neu gewählte Lehrerrat zu seiner ersten Sitzung zusammengetreten ist.</w:t>
      </w:r>
    </w:p>
    <w:p>
      <w:r>
        <w:rPr>
          <w:color w:val="555555"/>
          <w:sz w:val="17"/>
        </w:rPr>
        <w:t xml:space="preserve">Zitiervorschlag: § 69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https://recht.nulegal.eu/gesetze/SchulG/69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