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SchulG (Nordrhein-Westfalen) — Schulgesundheit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Schulgesundheitspflege hat das Ziel, Krankheiten der Schülerinnen und Schüler vorzubeugen, sie frühzeitig zu erkennen und Wege zu ihrer Heilung aufzuzeigen. Die Aufgaben der Schulgesundheitspflege nehmen die unteren Gesundheitsbehörden in Zusammenarbeit mit der Schule und den Eltern wahr.</w:t>
      </w:r>
    </w:p>
    <w:p>
      <w:r>
        <w:t xml:space="preserve">(2) Für jede Schule bestellt die untere Gesundheitsbehörde im Benehmen mit dem Schulträger eine Schulärztin oder einen Schularzt. Der schulärztliche Dienst umfasst insbesondere:</w:t>
      </w:r>
    </w:p>
    <w:p>
      <w:r>
        <w:t xml:space="preserve">1. schulärztliche Untersuchungen, insbesondere Reihenuntersuchungen zur Einschulung, und zahnärztliche Untersuchungen,</w:t>
      </w:r>
    </w:p>
    <w:p>
      <w:r>
        <w:t xml:space="preserve">2. eine besondere Betreuung der Schülerinnen und Schüler, deren Gesundheitszustand eine fortlaufende Kontrolle erforderlich macht,</w:t>
      </w:r>
    </w:p>
    <w:p>
      <w:r>
        <w:t xml:space="preserve">3. schulärztliche Sprechstunden für Eltern, Schülerinnen und Schüler sowie Lehrkräfte,</w:t>
      </w:r>
    </w:p>
    <w:p>
      <w:r>
        <w:t xml:space="preserve">4. gesundheitsfürsorgerische Maßnahmen für die Schülerinnen und Schüler,</w:t>
      </w:r>
    </w:p>
    <w:p>
      <w:r>
        <w:t xml:space="preserve">5. Beratung der Lehrkräfte in Fragen der Gesundheitspflege,</w:t>
      </w:r>
    </w:p>
    <w:p>
      <w:r>
        <w:t xml:space="preserve">6. Mitarbeit bei der Bekämpfung übertragbarer Krankheiten in Schulen.</w:t>
      </w:r>
    </w:p>
    <w:p>
      <w:r>
        <w:t xml:space="preserve">(3) Schülerinnen und Schüler, deren Verbleib in der Schule oder deren Teilnahme an anderen schulischen Veranstaltungen eine konkrete Gefahr für die physische oder psychische Unversehrtheit anderer oder die eigene bedeutet, können vorübergehend oder dauernd vom Schulbesuch ausgeschlossen werden. Die Entscheidung trifft die Schulleiterin oder der Schulleiter auf Grund eines regelmäßig zu überprüfenden amtsärztlichen Gutachtens. Wenn aufgrund eines dauernden Ausschlusses der Schülerin oder des Schülers das Schulverhältnis gemäß § 47 Absatz 1 Nummer 6 geendet hat, informiert die Schulleiterin oder der Schulleiter die zuständige Schulaufsichtsbehörde, die sodann für die Überprüfung und die daraufhin zu treffende Entscheidung nach Satz 2 zuständig ist. Bei Gefahr im Verzug ist die Schulleiterin oder der Schulleiter befugt, einen vorläufigen Ausschluss vom Besuch der Schule auszusprechen. Bei einem vorläufigen Ausschluss ist das amtsärztliche Gutachten unverzüglich nachträglich einzuholen.</w:t>
      </w:r>
    </w:p>
    <w:p>
      <w:r>
        <w:t xml:space="preserve">(4) Die Schülerinnen und Schüler sind verpflichtet, sich bei schulärztlichen und schulzahnärztlichen Reihenuntersuchungen, insbesondere zur Einschulung, untersuchen zu lassen. Gleiches gilt in den Fällen von § 19 Absatz 7 in Verbindung mit Absatz 5 Satz 2, § 35 Absatz 2 Satz 2, § 40 Absatz 2 Satz 2, § 43 Absatz 2 Satz 2, § 54 Absatz 3 Satz 2 und Satz 4.</w:t>
      </w:r>
    </w:p>
    <w:p>
      <w:r>
        <w:t xml:space="preserve">(5) Der Verkauf, der Ausschank und der Genuss alkoholischer Getränke im Zusammenhang mit schulischen Veranstaltungen sind auf dem Schulgrundstück sowie außerhalb des Schulgrundstücks untersagt. Über Ausnahmen von Satz 1 entscheidet die Schulkonferenz, die bei ihrer Entscheidung insbesondere die Vorbildwirkung zu berücksichtigen hat. Für branntweinhaltige Getränke und sonstige Rauschmittel ist keine Ausnahme möglich.</w:t>
      </w:r>
    </w:p>
    <w:p>
      <w:r>
        <w:t xml:space="preserve">(6) Das Rauchverbot an Schulen bestimmt sich nach den Vorschriften des Nichtraucherschutzgesetzes NRW.</w:t>
      </w:r>
    </w:p>
    <w:p>
      <w:r>
        <w:t xml:space="preserve">(7) Die Absätze 1 bis 4 gelten auch für Ersatzschulen; die Absätze 5 und 6 gelten auch für Ersatzschulen und Ergänzungsschulen.</w:t>
      </w:r>
    </w:p>
    <w:p>
      <w:r>
        <w:rPr>
          <w:color w:val="555555"/>
          <w:sz w:val="17"/>
        </w:rPr>
        <w:t xml:space="preserve">Zitiervorschlag: § 54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