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SchulG (Nordrhein-Westfalen) — Erzieherische Einwirkungen, Ordnungsmaßnahmen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Erzieherische Einwirkungen und Ordnungsmaßnahmen dienen der geordneten Unterrichts- und Erziehungsarbeit der Schule sowie dem Schutz von Personen und Sachen. Sie können angewendet werden, wenn eine Schülerin oder ein Schüler Pflichten verletzt. Der Grundsatz der Verhältnismäßigkeit ist zu beachten. Ordnungsmaßnahmen sind nur zulässig, wenn erzieherische Einwirkungen nicht ausreichen. Einwirkungen gegen mehrere Schülerinnen und Schüler sind nur zulässig, wenn das Fehlverhalten jeder oder jedem Einzelnen zuzurechnen ist.</w:t>
      </w:r>
    </w:p>
    <w:p>
      <w:r>
        <w:t xml:space="preserve">(2) Zu den erzieherischen Einwirkungen gehören insbesondere das erzieherische Gespräch, die Ermahnung, Gruppengespräche mit Schülerinnen, Schülern und Eltern, die mündliche oder schriftliche Missbilligung des Fehlverhaltens, der Ausschluss von der laufenden Unterrichtsstunde, die Nacharbeit unter Aufsicht nach vorheriger Benachrichtigung der Eltern, die zeitweise Wegnahme von Gegenständen, Maßnahmen mit dem Ziel der Wiedergutmachung angerichteten Schadens und die Beauftragung mit Aufgaben, die geeignet sind, das Fehlverhalten zu verdeutlichen. Bei wiederholtem Fehlverhalten soll eine schriftliche Information der Eltern erfolgen, damit die erzieherische Einwirkung der Schule vom Elternhaus unterstützt werden kann. Bei besonders häufigem Fehlverhalten einer Schülerin oder eines Schülers oder gemeinschaftlichem Fehlverhalten der Klasse oder Lerngruppe soll den Ursachen für das Fehlverhalten in besonderer Weise nachgegangen werden.</w:t>
      </w:r>
    </w:p>
    <w:p>
      <w:r>
        <w:t xml:space="preserve">(3) Ordnungsmaßnahmen sind</w:t>
      </w:r>
    </w:p>
    <w:p>
      <w:r>
        <w:t xml:space="preserve">1. der schriftliche Verweis,</w:t>
      </w:r>
    </w:p>
    <w:p>
      <w:r>
        <w:t xml:space="preserve">2. die Überweisung in eine parallele Klasse oder Lerngruppe,</w:t>
      </w:r>
    </w:p>
    <w:p>
      <w:r>
        <w:t xml:space="preserve">3. der vorübergehende Ausschluss vom Unterricht von einem Tag bis zu zwei Wochen und von sonstigen Schulveranstaltungen,</w:t>
      </w:r>
    </w:p>
    <w:p>
      <w:r>
        <w:t xml:space="preserve">4. die Androhung der Entlassung von der Schule,</w:t>
      </w:r>
    </w:p>
    <w:p>
      <w:r>
        <w:t xml:space="preserve">5. die Entlassung von der Schule,</w:t>
      </w:r>
    </w:p>
    <w:p>
      <w:r>
        <w:t xml:space="preserve">6. die Androhung der Verweisung von allen öffentlichen Schulen des Landes durch die obere Schulaufsichtsbehörde,</w:t>
      </w:r>
    </w:p>
    <w:p>
      <w:r>
        <w:t xml:space="preserve">7. die Verweisung von allen öffentlichen Schulen des Landes durch die obere Schulaufsichtsbehörde.</w:t>
      </w:r>
    </w:p>
    <w:p>
      <w:r>
        <w:t xml:space="preserve">Rechtsbehelfe (Widerspruch und Anfechtungsklage) gegen Ordnungsmaßnahmen nach Satz 1 Nr. 2 und 3 haben keine aufschiebende Wirkung. § 80 Abs. 4, 5, 7 und 8 der Verwaltungsgerichtsordnung bleibt unberührt.</w:t>
      </w:r>
    </w:p>
    <w:p>
      <w:r>
        <w:t xml:space="preserve">(4) Maßnahmen nach Absatz 3 Nr. 4 und 5 sind nur zulässig, wenn die Schülerin oder der Schüler durch schweres oder wiederholtes Fehlverhalten die Erfüllung der Aufgaben der Schule oder die Rechte anderer ernstlich gefährdet oder verletzt hat. Bei Schulpflichtigen bedarf die Entlassung von der Schule der Bestätigung durch die Schulaufsichtsbehörde, die die Schülerin oder den Schüler einer anderen Schule zuweisen kann. Die Entlassung einer Schülerin oder eines Schülers, die oder der nicht mehr schulpflichtig ist, kann ohne vorherige Androhung erfolgen, wenn die Schülerin oder der Schüler innerhalb eines Zeitraumes von 30 Tagen insgesamt 20 Unterrichtsstunden unentschuldigt versäumt hat.</w:t>
      </w:r>
    </w:p>
    <w:p>
      <w:r>
        <w:t xml:space="preserve">(5) Maßnahmen nach Absatz 3 Nr. 6 und 7 sind nur zulässig, wenn die Anwesenheit der Schülerin oder des Schülers aus Gründen der Sicherheit nicht verantwortet werden kann. Diese Entscheidung bedarf der Bestätigung durch das Ministerium. Soweit die Schülerin oder der Schüler die Schulpflicht noch nicht erfüllt hat, ist für geeignete Bildungsmaßnahmen zu sorgen.</w:t>
      </w:r>
    </w:p>
    <w:p>
      <w:r>
        <w:t xml:space="preserve">(6) Über Ordnungsmaßnahmen nach Absatz 3 Nummer 1 bis 3 entscheidet die Schulleiterin oder der Schulleiter oder ein von ihr oder ihm beauftragtes Mitglied der Schulleitung nach Anhörung der Schülerin oder des Schülers. Die Schulleiterin oder der Schulleiter oder das beauftragte Mitglied der Schulleitung kann sich von der zuständigen Teilkonferenz gemäß Absatz 7 beraten lassen oder ihr die Entscheidungsbefugnis übertragen. Den Eltern und der Klassenlehrerin oder dem Klassenlehrer oder der Jahrgangsstufenleiterin oder dem Jahrgangsstufenleiter ist vor der Entscheidung Gelegenheit zur Stellungnahme zu geben. In dringenden Fällen kann auf vorherige Anhörungen verzichtet werden; sie sind dann nachzuholen.</w:t>
      </w:r>
    </w:p>
    <w:p>
      <w:r>
        <w:t xml:space="preserve">(7) Über Ordnungsmaßnahmen nach Absatz 3 Nr. 4 und 5 entscheidet eine von der Lehrerkonferenz berufene Teilkonferenz. Die Schule kann verschiedene, für Schulstufen, Bildungsgänge oder Abteilungen zuständige Teilkonferenzen bilden. Der Teilkonferenz gehören ein Mitglied der Schulleitung, die Klassenlehrerin oder der Klassenlehrer oder die Jahrgangsstufenleiterin oder der Jahrgangsstufenleiter und drei weitere, für die Dauer eines Schuljahres zu wählende Lehrerinnen und Lehrer oder Mitarbeiterinnen und Mitarbeiter gemäß § 58 als ständige Mitglieder an. Weitere, für die Dauer eines Schuljahres zu wählende Mitglieder sind eine Vertreterin oder ein Vertreter der Schulpflegschaft und des Schülerrates. Diese nehmen an Sitzungen nicht teil, wenn die Schülerin oder der Schüler oder die Eltern der Teilnahme widersprechen. Für jedes Mitglied der Teilkonferenz kann jeweils eine Vertreterin oder ein Vertreter gewählt werden. Sie oder er nimmt bei Verhinderung des ordentlichen Mitglieds dessen Aufgabe wahr.</w:t>
      </w:r>
    </w:p>
    <w:p>
      <w:r>
        <w:t xml:space="preserve">(8) Vor der Beschlussfassung hat die Teilkonferenz der betroffenen Schülerin oder dem betroffenen Schüler und deren Eltern Gelegenheit zu geben, zu dem Vorwurf der Pflichtverletzung Stellung zu nehmen; zu der Anhörung kann die Schülerin oder der Schüler eine Person des Vertrauens aus dem Kreis der Schülerinnen und Schüler, der Lehrkräfte oder des pädagogischen oder sozialpädagogischen Personals an der Schule hinzuziehen.</w:t>
      </w:r>
    </w:p>
    <w:p>
      <w:r>
        <w:t xml:space="preserve">(9) Ordnungsmaßnahmen werden den Eltern schriftlich bekannt gegeben und begründet.</w:t>
      </w:r>
    </w:p>
    <w:p>
      <w:r>
        <w:rPr>
          <w:color w:val="555555"/>
          <w:sz w:val="17"/>
        </w:rPr>
        <w:t xml:space="preserve">Zitiervorschlag: § 53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