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SchulG (Nordrhein-Westfalen) — Teilnahme am Unterricht und an sonstigen Schulveranstaltungen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Schülerinnen und Schüler sind verpflichtet, regelmäßig am Unterricht und an den sonstigen verbindlichen Schulveranstaltungen teilzunehmen. Die Meldung zur Teilnahme an einer freiwilligen Unterrichtsveranstaltung verpflichtet zur regelmäßigen Teilnahme mindestens für ein Schulhalbjahr.</w:t>
      </w:r>
    </w:p>
    <w:p>
      <w:r>
        <w:t xml:space="preserve">(2) Ist eine Schülerin oder ein Schüler durch Krankheit oder aus anderen nicht vorhersehbaren Gründen verhindert, die Schule zu besuchen, so benachrichtigen die Eltern unverzüglich die Schule und teilen schriftlich den Grund für das Schulversäumnis mit. Bei begründeten Zweifeln, ob Unterricht aus gesundheitlichen Gründen versäumt wird, kann die Schule von den Eltern ein ärztliches Attest verlangen und in besonderen Fällen ein amtsärztliches Gutachten einholen.</w:t>
      </w:r>
    </w:p>
    <w:p>
      <w:r>
        <w:t xml:space="preserve">(3) Für nicht schulpflichtige Schülerinnen gelten die Schutzfristen vor und nach der Geburt eines Kindes gemäß den Regelungen des Mutterschutzgesetzes.</w:t>
      </w:r>
    </w:p>
    <w:p>
      <w:r>
        <w:t xml:space="preserve">(4) Die Schulleiterin oder der Schulleiter kann Schülerinnen und Schüler auf Antrag der Eltern aus wichtigem Grund bis zur Dauer eines Schuljahres vom Unterricht beurlauben oder von der Teilnahme an einzelnen Unterrichts- oder Schulveranstaltungen befreien. Längerfristige Beurlaubungen und Befreiungen bedürfen der Zustimmung der Schulaufsichtsbehörde. Dauerhafte Beurlaubungen und Befreiungen von schulpflichtigen Schülerinnen und Schülern zur Förderung wissenschaftlicher, sportlicher oder künstlerischer Hochbegabungen setzen voraus, dass für andere geeignete Bildungsmaßnahmen gesorgt wird.</w:t>
      </w:r>
    </w:p>
    <w:p>
      <w:r>
        <w:t xml:space="preserve">(5) Alle Schülerinnen und Schüler sind während schulischer Veranstaltungen sowie auf den Wegen von und zu diesen im Rahmen der gesetzlichen Unfallversicherung nach dem SGB VII gegen Unfall versichert.</w:t>
      </w:r>
    </w:p>
    <w:p>
      <w:r>
        <w:rPr>
          <w:color w:val="555555"/>
          <w:sz w:val="17"/>
        </w:rPr>
        <w:t xml:space="preserve">Zitiervorschlag: § 43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