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SchulG (Nordrhein-Westfalen) — Unterrichtsvorgaben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erlässt in der Regel schulformspezifische Vorgaben für den Unterricht (Richtlinien, Rahmenvorgaben, Lehrpläne). Diese legen insbesondere die Ziele und Inhalte für die Bildungsgänge, Unterrichtsfächer und Lernbereiche fest und bestimmen die erwarteten Lernergebnisse (Bildungsstandards).</w:t>
      </w:r>
    </w:p>
    <w:p>
      <w:r>
        <w:t xml:space="preserve">(2) Die Schulen bestimmen auf der Grundlage der Unterrichtsvorgaben nach Absatz 1 in Verbindung mit ihrem Schulprogramm schuleigene Unterrichtsvorgaben.</w:t>
      </w:r>
    </w:p>
    <w:p>
      <w:r>
        <w:t xml:space="preserve">(3) Unterrichtsvorgaben nach den Absätzen 1 und 2 sind so zu fassen, dass für die Lehrerinnen und Lehrer ein pädagogischer Gestaltungsspielraum bleibt.</w:t>
      </w:r>
    </w:p>
    <w:p>
      <w:r>
        <w:rPr>
          <w:color w:val="555555"/>
          <w:sz w:val="17"/>
        </w:rPr>
        <w:t xml:space="preserve">Zitiervorschlag: § 29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