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SchulG (Nordrhein-Westfalen) — Orte der sonderpädagogischen Förderung</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Orte der sonderpädagogischen Förderung sind</w:t>
      </w:r>
    </w:p>
    <w:p>
      <w:r>
        <w:t xml:space="preserve">1. die allgemeinen Schulen (allgemein bildende Schulen und Berufskollegs),</w:t>
      </w:r>
    </w:p>
    <w:p>
      <w:r>
        <w:t xml:space="preserve">2. die Förderschulen,</w:t>
      </w:r>
    </w:p>
    <w:p>
      <w:r>
        <w:t xml:space="preserve">3. die Klinikschulen (§ 21 Abs. 2).</w:t>
      </w:r>
    </w:p>
    <w:p>
      <w:r>
        <w:t xml:space="preserve">(2) Sonderpädagogische Förderung findet in der Regel in der allgemeinen Schule statt. Die Eltern können abweichend hiervon die Förderschule wählen.</w:t>
      </w:r>
    </w:p>
    <w:p>
      <w:r>
        <w:t xml:space="preserve">(3) In der allgemeinen Schule wird der Unterricht als Gemeinsames Lernen für Schülerinnen und Schüler mit und ohne Bedarf an sonderpädagogischer Unterstützung im Klassenverband oder in der Lerngruppe erteilt. Er erstreckt sich auf alle Unterrichtsvorgaben nach § 19 Absätze 3 und 4. Hierbei sind Formen innerer und äußerer Differenzierung möglich. Dies gilt auch für die Schülerinnen und Schüler, die zieldifferent unterrichtet werden.</w:t>
      </w:r>
    </w:p>
    <w:p>
      <w:r>
        <w:t xml:space="preserve">(4) In besonderen Ausnahmefällen kann die Schulaufsichtsbehörde abweichend von der Wahl der Eltern die allgemeine Schule anstelle der Förderschule oder die Förderschule anstelle der allgemeinen Schule als Förderort bestimmen. Dies setzt voraus, dass die personellen und sächlichen Voraussetzungen am gewählten Förderort nicht erfüllt sind und auch nicht mit vertretbarem Aufwand erfüllt werden können. Die Schulaufsichtsbehörde legt die Gründe dar und gibt den Eltern die Gelegenheit, sich zu der beabsichtigten Entscheidung zu äußern. Gleichzeitig informiert sie über weitere Beratungsangebote.</w:t>
      </w:r>
    </w:p>
    <w:p>
      <w:r>
        <w:t xml:space="preserve">(5) Die Schulaufsichtsbehörde richtet Gemeinsames Lernen mit Zustimmung des Schulträgers an einer allgemeinen Schule ein, es sei denn, die Schule ist dafür personell und sächlich nicht ausgestattet und kann auch nicht mit vertretbarem Aufwand dafür ausgestattet werden.</w:t>
      </w:r>
    </w:p>
    <w:p>
      <w:r>
        <w:t xml:space="preserve">(6) Auf dem Weg zu einem inklusiven Schulangebot können Schulträger mit Zustimmung der oberen Schulaufsichtsbehörde allgemeine Schulen als Schwerpunktschulen bestimmen. Eine solche Schule umfasst über die Förderschwerpunkte Lernen, Sprache sowie Emotionale und soziale Entwicklung hinaus weitere Förderschwerpunkte, mindestens aber einen weiteren Förderschwerpunkt. Die Schwerpunktschule unterstützt andere Schulen im Rahmen der Zusammenarbeit nach § 4.</w:t>
      </w:r>
    </w:p>
    <w:p>
      <w:r>
        <w:t xml:space="preserve">(7) Der Schulträger kann Förderschulen unterschiedlicher Förderschwerpunkte im Verbund als eine Schule in kooperativer oder integrativer Form führen.</w:t>
      </w:r>
    </w:p>
    <w:p>
      <w:r>
        <w:rPr>
          <w:color w:val="555555"/>
          <w:sz w:val="17"/>
        </w:rPr>
        <w:t xml:space="preserve">Zitiervorschlag: § 20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