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132 SchulG (Nordrhein-Westfalen) — Übergangsvorschriften, Öffnungsklausel</w:t>
      </w:r>
    </w:p>
    <w:p>
      <w:r>
        <w:rPr>
          <w:color w:val="555555"/>
          <w:sz w:val="18"/>
        </w:rPr>
        <w:t xml:space="preserve">Schulgesetz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Kreise und kreisangehörige Gemeinden als Schulträger können im Gebiet eines Kreises mit Genehmigung der oberen Schulaufsichtsbehörde vereinbaren, ihre Förderschulen mit dem Förderschwerpunkt Lernen, mit dem Förderschwerpunkt Emotionale und soziale Entwicklung und mit dem Förderschwerpunkt Sprache auch dann aufzulösen, wenn sie die in der Verordnung über die Mindestgrößen von Förderschulen bestimmten Schülerzahlen erreichen. Dabei muss gewährleistet sein, dass allein die allgemeine Schule Ort der sonderpädagogischen Förderung ist; § 20 Absätze 2 und 4 und § 78 Absatz 4 sind in diesem Fall nicht anwendbar. Die Sätze 1 und 2 gelten entsprechend für kreisfreie Städte als Schulträger. Die Rechtsstellung der Schulen in freier Trägerschaft bleibt unberührt.</w:t>
      </w:r>
    </w:p>
    <w:p>
      <w:r>
        <w:t xml:space="preserve">(2) Auf Antrag eines Schulträgers kann die obere Schulaufsichtsbehörde die Auflösung aller Förderschulen eines oder mehrerer der unter Absatz 1 genannten Förderschwerpunkte zugunsten eines inklusiven Schulangebots genehmigen.</w:t>
      </w:r>
    </w:p>
    <w:p>
      <w:r>
        <w:t xml:space="preserve">Absatz 1 Satz 2 gilt auch in diesem Fall. § 78 Absätze 1 bis 3 bleiben unberührt.</w:t>
      </w:r>
    </w:p>
    <w:p>
      <w:r>
        <w:t xml:space="preserve">(3) Für Schülerinnen und Schüler mit einem besonders ausgeprägten, umfassenden Bedarf an sonderpädagogischer Unterstützung im Förderschwerpunkt Emotionale und soziale Entwicklung können öffentliche und freie Schulträger in den Fällen</w:t>
      </w:r>
    </w:p>
    <w:p>
      <w:r>
        <w:t xml:space="preserve">1. des Absatzes 1 oder</w:t>
      </w:r>
    </w:p>
    <w:p>
      <w:r>
        <w:t xml:space="preserve">2. des Absatzes 2 bei Auflösung der Förderschulen mit dem Förderschwerpunkt Emotionale und soziale Entwicklung</w:t>
      </w:r>
    </w:p>
    <w:p>
      <w:r>
        <w:t xml:space="preserve">mit Genehmigung der oberen Schulaufsichtsbehörde einen schulischen Lernort einrichten. Dieser kann als Teil einer allgemeinen Schule oder als Förderschule geführt werden. Darin werden Schülerinnen und Schüler befristet mit dem Ziel unterrichtet und erzogen, sie in Abstimmung mit ihrer Schule auf die baldige Rückkehr vorzubereiten. Die Kinder und Jugendlichen bleiben Schülerinnen und Schüler der allgemeinen Schule.</w:t>
      </w:r>
    </w:p>
    <w:p>
      <w:r>
        <w:t xml:space="preserve">(4) Genehmigungen und Anerkennungen, die Trägern von Schulen in freier Trägerschaft vor In-Kraft-Treten dieses Gesetzes erteilt worden sind, gelten fort. Deren Aufhebung, Erlöschen und Übergang richtet sich nach den Vorschriften des Elften Teils.</w:t>
      </w:r>
    </w:p>
    <w:p>
      <w:r>
        <w:rPr>
          <w:color w:val="555555"/>
          <w:sz w:val="17"/>
        </w:rPr>
        <w:t xml:space="preserve">Zitiervorschlag: § 132 SchulG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https://recht.nulegal.eu/gesetze/SchulG/132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