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SchulG (Nordrhein-Westfalen) — Weitergeltung von Vorschriften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übrigen Verordnungen, die auf Grund der in § 130 aufgehobenen Gesetze erlassen wurden, gelten bis zum Erlass neuer Vorschriften fort, soweit sie diesem Gesetz nicht widersprechen.</w:t>
      </w:r>
    </w:p>
    <w:p>
      <w:r>
        <w:t xml:space="preserve">(2) Verwaltungsvorschriften sind in entsprechender Anwendung des Absatz 1 weiter anzuwenden mit der Maßgabe, dass sie spätestens nach zwei Jahren diesem Gesetz anzupassen sind.</w:t>
      </w:r>
    </w:p>
    <w:p>
      <w:r>
        <w:rPr>
          <w:color w:val="555555"/>
          <w:sz w:val="17"/>
        </w:rPr>
        <w:t xml:space="preserve">Zitiervorschlag: § 131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