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127 SchulG (Nordrhein-Westfalen) — Befristete Vorschriften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Artikel 9 und 13 des Gesetzes zur finanziellen Entlastung der Kommunen in Nordrhein-Westfalen (EntlKommG) vom 29. April 2003 (GV. NRW. S. 254) bleiben unberührt.</w:t>
      </w:r>
    </w:p>
    <w:p>
      <w:r>
        <w:t xml:space="preserve">(2) Artikel 1 des Gesetzes zur Weiterentwicklung von Schulen (Schulentwicklungsgesetz) vom 27. November 2001 (GV. NRW. S. 811) und die Verordnung zur Durchführung des Modellvorhabens „Selbstständige Schule“ (Verordnung „Selbstständige Schule“- VOSS) vom 12. April 2002 (GV. NRW. S. 122) bleiben unberührt.</w:t>
      </w:r>
    </w:p>
    <w:p>
      <w:r>
        <w:rPr>
          <w:color w:val="555555"/>
          <w:sz w:val="17"/>
        </w:rPr>
        <w:t xml:space="preserve">Zitiervorschlag: § 127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https://recht.nulegal.eu/gesetze/SchulG/127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