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SchulG (Nordrhein-Westfalen) — Jahresrechnung und Verwendungsnachweis</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Ablauf des Haushaltsjahres ist vom Schulträger eine Jahresrechnung auf der Grundlage des Haushaltsplans (§ 112) aufzustellen. Die Jahresrechnung, mit der er die Festsetzung des Landeszuschusses beantragt, ist spätestens bis zum 1. April nach Ablauf des Haushaltsjahres der oberen Schulaufsichtsbehörde einzureichen.</w:t>
      </w:r>
    </w:p>
    <w:p>
      <w:r>
        <w:t xml:space="preserve">(2) Zum Nachweis des zweckentsprechenden Mitteleinsatzes zu Lasten der Kostenpauschalen wird dem Grunde und der Höhe nach ein einfacher Verwendungsnachweis zugelassen, der eine summarische Darstellung der Einnahmen und Ausgaben entsprechend der Gliederung des Musterhaushaltsplans zu den entsprechenden Abschnitten der Jahresrechnung enthält.</w:t>
      </w:r>
    </w:p>
    <w:p>
      <w:r>
        <w:t xml:space="preserve">(3) Der Nachweis der zweckentsprechenden Mittelverwendung in der Jahresrechnung kann auch durch einen von einer Wirtschaftsprüfung geprüften Jahresabschluss erbracht werden, der die Ordnungsgemäßheit der Buchführung sowie die bestimmungsgemäße und wirtschaftliche Verwendung der Landeszuschüsse im Jahresabschluss bestätigt. Ein kirchlicher Schulträger mit dem Status einer öffentlich-rechtlichen Körperschaft kann den Nachweis sowohl für seine Schulen als auch für Schulen ihm nahestehender Schulträger durch Prüftestat seiner Rechnungsprüfungsstelle erbringen.</w:t>
      </w:r>
    </w:p>
    <w:p>
      <w:r>
        <w:t xml:space="preserve">(4) Soweit die für die Zwecke der Kostenpauschalen vom Schulträger nachgewiesenen tatsächlichen Ausgaben das veranschlagte Mittelvolumen der Kostenpauschalen nicht erreichen und auch keine anderweitige Verwendung im Rahmen der gegenseitigen Deckungsfähigkeit der Kostenpauschalen (§ 106 Abs. 4 Satz 1) vorliegt, ist zunächst von den nicht verbrauchten Mitteln ein Betrag in Höhe des Vom-Hundert-Satzes der jeweiligen Eigenleistung abzusetzen. Der verbleibende Überschuss ist nach näherer Maßgabe der Rechtsverordnung nach § 115 grundsätzlich bis zur Hälfte dem Schulträger zu belassen und wie ein Zuschuss Dritter auf die Eigenleistung des folgenden Haushaltsjahres anzurechnen. Die Anrechnung ist dabei nur bis zur Höhe der Eigenleistung nach dem letzten Festsetzungsbescheid zulässig.</w:t>
      </w:r>
    </w:p>
    <w:p>
      <w:r>
        <w:rPr>
          <w:color w:val="555555"/>
          <w:sz w:val="17"/>
        </w:rPr>
        <w:t xml:space="preserve">Zitiervorschlag: § 113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