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SchulG (Nordrhein-Westfalen) — Landeszuschuss und Eigenleistung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erforderlichen Landeszuschüsse werden den Schulträgern nach Maßgabe der nachstehenden Vorschriften entweder auf der Grundlage der tatsächlichen Ausgaben oder diesen Rechnung tragenden Kostenpauschalen gewährt. Die Zuschüsse bemessen sich mit Ausnahme der Kostenpauschalen nach dem Haushaltsfehlbetrag der Ersatzschule. Als Haushaltsfehlbetrag gilt der Betrag, um den bei Rechnungsabschluss die fortdauernden Ausgaben höher als die fortdauernden Einnahmen der Schule sind.</w:t>
      </w:r>
    </w:p>
    <w:p>
      <w:r>
        <w:t xml:space="preserve">(2) Nach den tatsächlichen Ausgaben zu bezuschussen sind</w:t>
      </w:r>
    </w:p>
    <w:p>
      <w:r>
        <w:t xml:space="preserve">1. an Personalkosten</w:t>
      </w:r>
    </w:p>
    <w:p>
      <w:r>
        <w:t xml:space="preserve">a) die Dienstbezüge der Lehrerinnen und Lehrer und des sonstigen pädagogischen Personals, begrenzt auf den Stellenumfang, der zur Erteilung des lehrplanmäßigen Unterrichts (§ 107 Abs. 1) erforderlich ist, sowie</w:t>
      </w:r>
    </w:p>
    <w:p>
      <w:r>
        <w:t xml:space="preserve">b) die für das erforderliche pädagogische Personal anfallenden Aufwendungen für Beihilfe, Unfallfürsorge, Altersversorgung sowie die Beiträge zur Sozialversicherung,</w:t>
      </w:r>
    </w:p>
    <w:p>
      <w:r>
        <w:t xml:space="preserve">2. an Sachkosten</w:t>
      </w:r>
    </w:p>
    <w:p>
      <w:r>
        <w:t xml:space="preserve">a) die gesetzlich vorgesehenen Umlagen und Ausgleichsabgaben einschließlich von Beiträgen zur Berufsgenossenschaft, die der Schulträger als Arbeitgeber für das pädagogische Personal und das Verwaltungs- und Hauspersonal abzuführen hat,</w:t>
      </w:r>
    </w:p>
    <w:p>
      <w:r>
        <w:t xml:space="preserve">b) Gerichts-, Sachverständigen- und ähnliche Kosten einschließlich der Kosten ärztlicher Untersuchungen der Schülerinnen und Schüler, soweit landesseitig veranlasst,</w:t>
      </w:r>
    </w:p>
    <w:p>
      <w:r>
        <w:t xml:space="preserve">c) die Kosten der Lernmittelfreiheit und die Schülerfahrkosten,</w:t>
      </w:r>
    </w:p>
    <w:p>
      <w:r>
        <w:t xml:space="preserve">d) die ortsüblich angemessene Miete oder Pacht für die Bereitstellung der Schulgebäude und -räume sowie</w:t>
      </w:r>
    </w:p>
    <w:p>
      <w:r>
        <w:t xml:space="preserve">e) Aufwendungen für Bauinvestitionen nach Maßgabe des § 110.</w:t>
      </w:r>
    </w:p>
    <w:p>
      <w:r>
        <w:t xml:space="preserve">(3) Die über Absatz 2 Nr. 1 hinaus anfallenden Personalkosten für Lehrerinnen und Lehrer werden gemäß § 107 Abs. 3, die Kosten des Verwaltungs- und Hauspersonals gemäß § 107 Abs. 4 bis 6 sowie die über Absatz 2 Nr. 2 hinausgehenden Sachkosten gemäß § 108 pauschaliert abgegolten.</w:t>
      </w:r>
    </w:p>
    <w:p>
      <w:r>
        <w:t xml:space="preserve">(4) Die pauschalierten Mittel sind gegenseitig deckungsfähig. Nicht verbrauchte oder nicht zweckentsprechend eingesetzte Pauschalmittel sind nach Maßgabe der §§ 112 Abs. 6, 113 Abs. 4 zurückzufordern. Bei Hinzutreten neuer oder Wegfall bestehender Kostenfaktoren sowie bei wesentlichen Kostenveränderungen, die nicht bereits mittels Preisindizes berücksichtigt werden, ist eine entsprechende Anpassung der Kostenpauschalen vorzunehmen.</w:t>
      </w:r>
    </w:p>
    <w:p>
      <w:r>
        <w:t xml:space="preserve">(5) Die Eigenleistung des Schulträgers beträgt 15 vom Hundert, abweichend hiervon bei Förderschulen (§ 20 Abs. 1 Nr. 2) und Klinikschulen (§ 20 Abs. 1 Nr. 4) 11 vom Hundert der anerkannten fortdauernden Ausgaben und der Baukostenzuschüsse für die Ersatzschule (Regeleigenleistung). Auf die Regeleigenleistung ist die Bereitstellung von Schulgebäuden und -räumen mit 7 vom Hundert anzurechnen, wenn Aufwendungen für Miete oder Pacht nicht veranschlagt werden. Die Bereitstellung der Schuleinrichtung wird mit einer pauschalen Anrechnung von 2 vom Hundert abgegolten. Bei Förderschulen und Klinikschulen als Bestandteil einer Bündelschule gemäß § 105 Abs. 4 sowie bei sonderpädagogischen Förderklassen an allgemeinen Berufskollegs nach § 20 Abs. 1 Nr. 3 gilt dies mit der Maßgabe, dass sich die den unterschiedlichen Regeleigenleistungen zuzuordnenden Ausgaben prozentual nach dem Verhältnis ihres Stellenbedarfs zum Stellenbedarf der sonstigen organisatorisch zusammengefassten Schulformen der Bündelschule oder des allgemeinen Berufskollegs gemäß § 107 Abs. 1 bemessen.</w:t>
      </w:r>
    </w:p>
    <w:p>
      <w:r>
        <w:t xml:space="preserve">(6) Die Eigenleistung des Schulträgers entfällt für die Schulbudgets für die Lehrerfortbildung nach § 108 Abs. 5 sowie die Kosten der Lernmittelfreiheit und für Schülerfahrkosten im Sinne der zu §§ 96 und 97 getroffenen Regelungen.</w:t>
      </w:r>
    </w:p>
    <w:p>
      <w:r>
        <w:t xml:space="preserve">(7) Bei einer nur vorübergehenden finanziellen Notlage kann die Eigenleistung auf Antrag des Schulträgers durch die obere Schulaufsichtsbehörde bis auf 2 vom Hundert der Ausgaben für längstens bis zu fünf Jahren herabgesetzt werden.</w:t>
      </w:r>
    </w:p>
    <w:p>
      <w:r>
        <w:t xml:space="preserve">(8) Eine Ermäßigung setzt voraus, dass dem Schulträger bei einer nicht selbst herbeigeführten wirtschaftlich bedenklichen Finanzlage eine höhere Eigenleistung unter Berücksichtigung seiner sonstigen Einkünfte und Verpflichtungen nicht zuzumuten ist. Dazu hat der Schulträger nachzuweisen, dass er alle Anstrengungen unternommen hat, zumutbare andere Finanzierungsmöglichkeiten oder Hilfsquellen der ihn tragenden oder nahestehenden natürlichen oder juristischen Personen auszuschöpfen. Unterhält der Schulträger mehrere Schulen, ist eine Gesamtbetrachtung vorzunehmen.</w:t>
      </w:r>
    </w:p>
    <w:p>
      <w:r>
        <w:t xml:space="preserve">(9) Bei Hinzutreten besonderer Umstände kann das Ministerium im Einvernehmen mit dem Finanzministerium einer längeren Ermäßigung der Eigenleistung zustimmen, wenn der Fortbestand der Schule auf Dauer gesichert erscheint.</w:t>
      </w:r>
    </w:p>
    <w:p>
      <w:r>
        <w:t xml:space="preserve">(10) Zusätzliche Personal- und Sachausgaben können für Bedarfe, die nicht bereits durch Kostenpauschalen abgedeckt sind, bis zur Höhe der tatsächlichen Ausgaben durch die obere Schulaufsichtsbehörde anerkannt werden, wenn hierfür ein besonderes pädagogisches oder ein besonderes öffentliches Interesse vorliegt. Bei vorübergehender Verwendung von Lehrerinnen und Lehrern aus Ersatzschulen für pädagogische Aufgaben im öffentlichen Schuldienst entfällt für diese die Eigenleistung des Schulträgers bei den Personalkosten.</w:t>
      </w:r>
    </w:p>
    <w:p>
      <w:r>
        <w:t xml:space="preserve">(11) Im Einzelfall kann das Ministerium auch eine von Absatz 5 abweichende Eigenleistung ohne Vorliegen der Voraussetzungen der Absätze 7 und 8 auf Dauer im Einvernehmen mit dem Finanzministerium festlegen. Dies setzt voraus, dass ein besonderes Landesinteresse an der Ergänzung des Schulwesens durch einzelne Schulen mit einem besonderen Bildungsangebot oder einem überregionalen Einzugsbereich besteht.</w:t>
      </w:r>
    </w:p>
    <w:p>
      <w:r>
        <w:t xml:space="preserve">(12) Das Land übernimmt für Träger von Ersatzschulen, die Beteiligte in der Versorgungsanstalt des Bundes und der Länder sind, im Falle der Zahlungsunfähigkeit des Ersatzschulträgers die Haftung für die Gegenwerte, die aufgrund des Ausscheidens des Ersatzschulträgers oder einer von ihm getragenen Ersatzschule aus der Versorgungsanstalt des Bundes und der Länder entstehen.</w:t>
      </w:r>
    </w:p>
    <w:p>
      <w:r>
        <w:rPr>
          <w:color w:val="555555"/>
          <w:sz w:val="17"/>
        </w:rPr>
        <w:t xml:space="preserve">Zitiervorschlag: § 106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