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SchulG (Nordrhein-Westfalen) — Recht auf Bildung, Erziehung und individuelle Förderung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Jeder junge Mensch hat ohne Rücksicht auf seine wirtschaftliche Lage und Herkunft und sein Geschlecht ein Recht auf schulische Bildung, Erziehung und individuelle Förderung. Dieses Recht wird nach Maßgabe dieses Gesetzes gewährleistet.</w:t>
      </w:r>
    </w:p>
    <w:p>
      <w:r>
        <w:t xml:space="preserve">(2) Die Fähigkeiten und Neigungen des jungen Menschen sowie der Wille der Eltern bestimmen seinen Bildungsweg. Der Zugang zur schulischen Bildung steht jeder Schülerin und jedem Schüler nach Lernbereitschaft und Leistungsfähigkeit offen.</w:t>
      </w:r>
    </w:p>
    <w:p>
      <w:r>
        <w:rPr>
          <w:color w:val="555555"/>
          <w:sz w:val="17"/>
        </w:rPr>
        <w:t xml:space="preserve">Zitiervorschlag: § 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