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SchuhfAusbV 2017 — Gegenstand der Berufsausbildung und Ausbildungsrahmenplan</w:t>
      </w:r>
    </w:p>
    <w:p>
      <w:r>
        <w:rPr>
          <w:color w:val="555555"/>
          <w:sz w:val="18"/>
        </w:rPr>
        <w:t xml:space="preserve">Schuhfertigerausbildungsverordnung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genannten Fertigkeiten, Kenntnisse und Fähigkeiten. Von der Organisation der Berufsausbildung, wie sie im Ausbildungsrahmenplan vorgegeben ist, darf abgewichen werden, wenn und soweit betriebspraktische Besonderheiten oder Gründe, die in der Person des oder der Auszubildenden liegen, die Abweichung erfordern.</w:t>
      </w:r>
    </w:p>
    <w:p>
      <w:r>
        <w:t xml:space="preserve">(2) Die im Ausbildungsrahmenplan genannten Fertigkeiten, Kenntnisse und Fähigkeiten sollen so vermittelt werden, dass die Auszubildenden die berufliche Handlungsfähigkeit nach § 1 Absatz 3 des Berufsbildungsgesetzes erlangen. Die berufliche Handlungsfähigkeit schließt insbesondere selbständiges Planen, Durchführen und Kontrollieren ein.</w:t>
      </w:r>
    </w:p>
    <w:p>
      <w:r>
        <w:rPr>
          <w:color w:val="555555"/>
          <w:sz w:val="17"/>
        </w:rPr>
        <w:t xml:space="preserve">Zitiervorschlag: § 3 SchuhfAusbV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https://recht.nulegal.eu/gesetze/SchuhfAusbV%202017/3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