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SchuVAbdrV — Inhalt von Abdrucken</w:t>
      </w:r>
    </w:p>
    <w:p>
      <w:r>
        <w:rPr>
          <w:color w:val="555555"/>
          <w:sz w:val="18"/>
        </w:rPr>
        <w:t xml:space="preserve">Schuldnerverzeichnisabdruckverordnung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Abdrucke werden als Vollabdruck oder als Teilabdruck erteilt. Der Vollabdruck enthält alle Eintragungen im Schuldnerverzeichnis. Der Teilabdruck enthält nur die seit der letzten Abdruckerstellung eingetretenen Änderungen.</w:t>
      </w:r>
    </w:p>
    <w:p>
      <w:r>
        <w:t xml:space="preserve">(2) An gut sichtbarer Stelle ist auf die Pflichten hinzuweisen, die sich für den Inhaber von Abdrucken aus § 882g der Zivilprozessordnung ergeben. Der Hinweis kann den Abdrucken auch in Form eines Merkblattes beigefügt werden.</w:t>
      </w:r>
    </w:p>
    <w:p>
      <w:r>
        <w:t xml:space="preserve">(3) Die Abdrucke dürfen keine weiteren Mitteilungen enthalten.</w:t>
      </w:r>
    </w:p>
    <w:p>
      <w:r>
        <w:rPr>
          <w:color w:val="555555"/>
          <w:sz w:val="17"/>
        </w:rPr>
        <w:t xml:space="preserve">Zitiervorschlag: § 8 SchuVAbdrV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https://recht.nulegal.eu/gesetze/SchuVAbdrV/8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SchuVAbdrV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