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SchuVAbdrV — Befristungen, Auflagen und Bedingungen</w:t>
      </w:r>
    </w:p>
    <w:p>
      <w:r>
        <w:rPr>
          <w:color w:val="555555"/>
          <w:sz w:val="18"/>
        </w:rPr>
        <w:t xml:space="preserve">Schuldnerverzeichnisabdruckverordnung</w:t>
      </w:r>
    </w:p>
    <w:p>
      <w:r>
        <w:rPr>
          <w:color w:val="555555"/>
          <w:sz w:val="18"/>
        </w:rPr>
        <w:t xml:space="preserve">Stand: 10.12.2019 (konsolidierte Textfassung, kein amtliches Inkrafttretensdatum)</w:t>
      </w:r>
    </w:p>
    <w:p>
      <w:r>
        <w:t xml:space="preserve">(1) Die Bewilligung ist auf mindestens ein Jahr und höchstens sechs Jahre zu befristen.</w:t>
      </w:r>
    </w:p>
    <w:p>
      <w:r>
        <w:t xml:space="preserve">(2) Zum Zweck der Einhaltung der Vorschriften der §§ 882e bis 882h der Zivilprozessordnung, der datenschutzrechtlichen Vorschriften und dieser Verordnung kann die Bewilligung ergehen mit Bestimmungen,</w:t>
      </w:r>
    </w:p>
    <w:p>
      <w:pPr>
        <w:ind w:left="420"/>
      </w:pPr>
      <w:r>
        <w:t xml:space="preserve">1. durch die dem Begünstigten ein Tun, Dulden oder Unterlassen vorgeschrieben wird (Auflagen) und</w:t>
      </w:r>
    </w:p>
    <w:p>
      <w:pPr>
        <w:ind w:left="420"/>
      </w:pPr>
      <w:r>
        <w:t xml:space="preserve">2. nach denen der Eintritt oder der Wegfall einer Vergünstigung oder Belastung von dem ungewissen Eintritt eines zukünftigen Ereignisses abhängt (Bedingung).</w:t>
      </w:r>
    </w:p>
    <w:p>
      <w:r>
        <w:rPr>
          <w:color w:val="555555"/>
          <w:sz w:val="17"/>
        </w:rPr>
        <w:t xml:space="preserve">Zitiervorschlag: § 6 SchuVAbdrV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https://recht.nulegal.eu/gesetze/SchuVAbdrV/6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