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SchuVAbdrV — Bewilligung</w:t>
      </w:r>
    </w:p>
    <w:p>
      <w:r>
        <w:rPr>
          <w:color w:val="555555"/>
          <w:sz w:val="18"/>
        </w:rPr>
        <w:t xml:space="preserve">Schuldnerverzeichnisabdruckverordnung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Bewilligung ist nur gegenüber dem Antragsteller wirksam. Sie ist nicht übertragbar.</w:t>
      </w:r>
    </w:p>
    <w:p>
      <w:r>
        <w:t xml:space="preserve">(2) Gegenstand der Bewilligung sind</w:t>
      </w:r>
    </w:p>
    <w:p>
      <w:pPr>
        <w:ind w:left="420"/>
      </w:pPr>
      <w:r>
        <w:t xml:space="preserve">1. die Entscheidung über den Antrag,</w:t>
      </w:r>
    </w:p>
    <w:p>
      <w:pPr>
        <w:ind w:left="420"/>
      </w:pPr>
      <w:r>
        <w:t xml:space="preserve">2. Bedingungen,</w:t>
      </w:r>
    </w:p>
    <w:p>
      <w:pPr>
        <w:ind w:left="420"/>
      </w:pPr>
      <w:r>
        <w:t xml:space="preserve">3. Auflagen, Befristungen und der Vorbehalt des Widerrufs.</w:t>
      </w:r>
    </w:p>
    <w:p>
      <w:r>
        <w:t xml:space="preserve">(3) Die Bewilligung enthält die Belehrung über die vom Begünstigten zu beachtenden datenschutzrechtlichen Vorschriften, insbesondere der Zivilprozessordnung und dieser Verordnung. In den Fällen des § 9 Absatz 1 Satz 2 ist ferner über die anzuwendenden Datenübermittlungsregeln zu belehren. Auf § 7 ist gesondert hinzuweisen. Der Bewilligung ist eine Rechtsmittelbelehrung beizufügen.</w:t>
      </w:r>
    </w:p>
    <w:p>
      <w:r>
        <w:t xml:space="preserve">(4) Die Bewilligung wird der Stelle mitgeteilt, die nach den jeweils maßgeblichen datenschutzrechtlichen Vorschriften für die Kontrolle des Beziehers der Abdrucke zuständig ist.</w:t>
      </w:r>
    </w:p>
    <w:p>
      <w:r>
        <w:rPr>
          <w:color w:val="555555"/>
          <w:sz w:val="17"/>
        </w:rPr>
        <w:t xml:space="preserve">Zitiervorschlag: § 5 SchuVAbdrV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https://recht.nulegal.eu/gesetze/SchuVAbdrV/5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