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SchuV — Verwaltung der Einzelschuldbuchkonten</w:t>
      </w:r>
    </w:p>
    <w:p>
      <w:r>
        <w:rPr>
          <w:color w:val="555555"/>
          <w:sz w:val="18"/>
        </w:rPr>
        <w:t xml:space="preserve">Schuldverschreibungsverordnung</w:t>
      </w:r>
    </w:p>
    <w:p>
      <w:r>
        <w:rPr>
          <w:color w:val="555555"/>
          <w:sz w:val="18"/>
        </w:rPr>
        <w:t xml:space="preserve">Stand: 10.06.2019 (konsolidierte Textfassung, kein amtliches Inkrafttretensdatum)</w:t>
      </w:r>
    </w:p>
    <w:p>
      <w:r>
        <w:t xml:space="preserve">(1) Die das Bundesschuldbuch führende Stelle führt Einzelschuldbuchkonten für natürliche Personen (ein oder höchstens zwei Kontoinhaber), für juristische Personen und für Handelsgesellschaften.</w:t>
      </w:r>
    </w:p>
    <w:p>
      <w:r>
        <w:t xml:space="preserve">(2) Die das Bundesschuldbuch führende Stelle benachrichtigt den Berechtigten (Kontoinhaber) und das Bundesamt über die Kontoeröffnung unter Angabe der Kontonummer.</w:t>
      </w:r>
    </w:p>
    <w:p>
      <w:r>
        <w:t xml:space="preserve">(3) Die Eintragung und Verwaltung der Einzelschuldbuchforderung sowie die Überweisung von Zins und Tilgung sind gebührenfrei. Der Berechtigte erhält jährlich einen Kontoauszug.</w:t>
      </w:r>
    </w:p>
    <w:p>
      <w:r>
        <w:t xml:space="preserve">(4) Die Einzelschuldbuchforderungen können verkauft werden, sobald die Schuldverschreibungen in den Handel an den deutschen Wertpapierbörsen eingeführt worden sind. Der Inhaber richtet seinen Verkaufsauftrag an die das Bundesschuldbuch führende Stelle. Diese läßt den Verkaufsauftrag durch die Deutsche Bundesbank nach deren Allgemeinen Geschäftsbedingungen einschließlich Gebührentabelle ausführen.</w:t>
      </w:r>
    </w:p>
    <w:p>
      <w:r>
        <w:rPr>
          <w:color w:val="555555"/>
          <w:sz w:val="17"/>
        </w:rPr>
        <w:t xml:space="preserve">Zitiervorschlag: § 5 SchuV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