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SchuTSEV</w:t>
      </w:r>
    </w:p>
    <w:p>
      <w:r>
        <w:rPr>
          <w:color w:val="555555"/>
          <w:sz w:val="18"/>
        </w:rPr>
        <w:t xml:space="preserve">Sicherheitsfunk-Schutzverordnung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6 Abs. 3 des Gesetzes über die elektromagnetische Verträglichkeit von Betriebsmitteln vom 26. Februar 2008 (BGBl. I S. 220) verordnet die Bundesregierung:</w:t>
      </w:r>
    </w:p>
    <w:p>
      <w:r>
        <w:rPr>
          <w:color w:val="555555"/>
          <w:sz w:val="17"/>
        </w:rPr>
        <w:t xml:space="preserve">Zitiervorschlag: Eingangsformel SchuTSEV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https://recht.nulegal.eu/gesetze/SchuTSEV/eingangsformel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