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SchuTSEV — Schutz von Flugfunk-Frequenzen</w:t>
      </w:r>
    </w:p>
    <w:p>
      <w:r>
        <w:rPr>
          <w:color w:val="555555"/>
          <w:sz w:val="18"/>
        </w:rPr>
        <w:t xml:space="preserve">Sicherheitsfunk-Schutzverordnung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Leitergebundene Übertragungen analoger Signale (Rundfunksignale) sind in den Frequenzbereichen</w:t>
      </w:r>
    </w:p>
    <w:p>
      <w:pPr>
        <w:ind w:left="420"/>
      </w:pPr>
      <w:r>
        <w:t xml:space="preserve">1. von 112 Megahertz bis 125 Megahertz spätestens zum 31. März 2009 und</w:t>
      </w:r>
    </w:p>
    <w:p>
      <w:pPr>
        <w:ind w:left="420"/>
      </w:pPr>
      <w:r>
        <w:t xml:space="preserve">2. von 125 Megahertz bis 137 Megahertz spätestens zum 31. Dezember 2010</w:t>
      </w:r>
    </w:p>
    <w:p>
      <w:r>
        <w:t xml:space="preserve">einzustellen.</w:t>
      </w:r>
    </w:p>
    <w:p>
      <w:r>
        <w:t xml:space="preserve">(2) Eine Übertragung digitaler Signale ist in diesen Frequenzbereichen zulässig, wenn die entsprechenden leitergebundenen Übertragungsnetze bis zum Endgerät des Nutzers die Grenzwerte für Störfeldstärke nach Anlage 2 einhalten. Der Betreiber ist verpflichtet, die Überprüfung des leitergebundenen Übertragungsnetzes nachzuweisen, zu dokumentieren und entsprechende Unterlagen auf Verlangen der Bundesnetzagentur vorzulegen.</w:t>
      </w:r>
    </w:p>
    <w:p>
      <w:r>
        <w:t xml:space="preserve">(3) Die Bundesnetzagentur kann die Einhaltung der Verpflichtungen nach den Absätzen 1 und 2 überprüfen und im Wege des Verwaltungszwangs durchsetzen.</w:t>
      </w:r>
    </w:p>
    <w:p>
      <w:r>
        <w:t xml:space="preserve">(4) Stellt die Bundesnetzagentur durch Messungen fest, dass die leitungsgebundenen Übertragungsnetze die Voraussetzungen des Absatzes 2 einhalten, kann sie im Einvernehmen mit dem Bundesamt für Informationsmanagement und Informationstechnik der Bundeswehr die Grenzwertverschärfung nach Anlage 2 Nr. 7 aufheben.</w:t>
      </w:r>
    </w:p>
    <w:p>
      <w:r>
        <w:rPr>
          <w:color w:val="555555"/>
          <w:sz w:val="17"/>
        </w:rPr>
        <w:t xml:space="preserve">Zitiervorschlag: § 5 SchuTSEV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https://recht.nulegal.eu/gesetze/SchuTSEV/5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