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SchuTSEV — Schutz von zu Sicherheitszwecken betriebenen Sende- und Empfangsfunkanlagen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Störaussendungen aus leitergebundenen Telekommunikationsanlagen und -netzen dürfen in den zu schützenden Frequenzbereichen nach Anlage 1 die Grenzwerte der Störfeldstärke nach Anlage 2 nicht überschreiten. Die Störfeldstärken werden nach der Messvorschrift nach Anlage 3 ermittelt.</w:t>
      </w:r>
    </w:p>
    <w:p>
      <w:r>
        <w:t xml:space="preserve">(2) Die Bundesnetzagentur kann</w:t>
      </w:r>
    </w:p>
    <w:p>
      <w:pPr>
        <w:ind w:left="420"/>
      </w:pPr>
      <w:r>
        <w:t xml:space="preserve">1. die Einhaltung der Anforderungen nach Absatz 1 überprüfen;</w:t>
      </w:r>
    </w:p>
    <w:p>
      <w:pPr>
        <w:ind w:left="420"/>
      </w:pPr>
      <w:r>
        <w:t xml:space="preserve">2. zum Zwecke der Überprüfung besondere Maßnahmen gegenüber dem Betreiber einer Telekommunikationsanlage oder eines Telekommunikationsnetzes anordnen und insbesondere verlangen, dass der Betreiber Testsignale einspeist;</w:t>
      </w:r>
    </w:p>
    <w:p>
      <w:pPr>
        <w:ind w:left="420"/>
      </w:pPr>
      <w:r>
        <w:t xml:space="preserve">3. den Betreiber auffordern, in einer angemessenen Frist dafür zu sorgen, dass seine leitergebundene Telekommunikationsanlage oder sein leitergebundenes Telekommunikationsnetz die Anforderungen nach Absatz 1 einhält;</w:t>
      </w:r>
    </w:p>
    <w:p>
      <w:pPr>
        <w:ind w:left="420"/>
      </w:pPr>
      <w:r>
        <w:t xml:space="preserve">4. besondere Maßnahmen mit räumlichen, zeitlichen und sachlichen Festlegungen für das Betreiben der leitergebundenen Telekommunikationsanlage oder des leitergebundenen Telekommunikationsnetzes anordnen;</w:t>
      </w:r>
    </w:p>
    <w:p>
      <w:pPr>
        <w:ind w:left="420"/>
      </w:pPr>
      <w:r>
        <w:t xml:space="preserve">5. den Betrieb der leitergebundenen Telekommunikationsanlage oder des leitergebundenen Telekommunikationsnetzes ganz oder teilweise untersagen.</w:t>
      </w:r>
    </w:p>
    <w:p>
      <w:r>
        <w:t xml:space="preserve">(3) Unbeschadet der Anforderungen nach Absatz 1 kann die Bundesnetzagentur im Falle von Sende- und Empfangsfunkanlagen, für die aus Gründen der öffentlichen Sicherheit ein besonderer Schutz notwendig ist, im Benehmen mit den für die jeweiligen Sende- und Empfangsfunkanlagen zuständigen Bundesbehörden messtechnische Untersuchungen durchführen.</w:t>
      </w:r>
    </w:p>
    <w:p>
      <w:r>
        <w:rPr>
          <w:color w:val="555555"/>
          <w:sz w:val="17"/>
        </w:rPr>
        <w:t xml:space="preserve">Zitiervorschlag: § 3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