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SchuTSEV — Begriffsbestimmungen</w:t>
      </w:r>
    </w:p>
    <w:p>
      <w:r>
        <w:rPr>
          <w:color w:val="555555"/>
          <w:sz w:val="18"/>
        </w:rPr>
        <w:t xml:space="preserve">Sicherheitsfunk-Schutzverordnung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Im Sinne dieser Verordnung</w:t>
      </w:r>
    </w:p>
    <w:p>
      <w:pPr>
        <w:ind w:left="420"/>
      </w:pPr>
      <w:r>
        <w:t xml:space="preserve">1. ist „Betreiber“ diejenige natürliche oder juristische Person, die die rechtliche und tatsächliche Kontrolle über eine Telekommunikationsanlage oder ein Telekommunikationsnetz hat;</w:t>
      </w:r>
    </w:p>
    <w:p>
      <w:pPr>
        <w:ind w:left="420"/>
      </w:pPr>
      <w:r>
        <w:t xml:space="preserve">2. ist „öffentliches Telekommunikationsnetz“ ein Telekommunikationsnetz im Sinne von § 3 Nummer 65 des Telekommunikationsgesetzes, das zur Bereitstellung von öffentlich zugänglichen Telekommunikationsdiensten im Sinne von § 3 Nummer 61 des Telekommunikationsgesetzes genutzt wird;</w:t>
      </w:r>
    </w:p>
    <w:p>
      <w:pPr>
        <w:ind w:left="420"/>
      </w:pPr>
      <w:r>
        <w:t xml:space="preserve">3. sind „Störaussendungen“ von einem leitungsgeführten elektrischen Nutzsignal verursachte elektromagnetische Energieanteile, die den Leiter durch Induktion, Influenz oder Strahlungskopplung unerwünscht verlassen und den Funkverkehr störend beeinträchtigen können.</w:t>
      </w:r>
    </w:p>
    <w:p>
      <w:r>
        <w:rPr>
          <w:color w:val="555555"/>
          <w:sz w:val="17"/>
        </w:rPr>
        <w:t xml:space="preserve">Zitiervorschlag: § 2 SchuTSEV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https://recht.nulegal.eu/gesetze/SchuTSEV/2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