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SchuTSEV — Anwendungsbereich</w:t>
      </w:r>
    </w:p>
    <w:p>
      <w:r>
        <w:rPr>
          <w:color w:val="555555"/>
          <w:sz w:val="18"/>
        </w:rPr>
        <w:t xml:space="preserve">Sicherheitsfunk-Schutzverordnung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regelt die Durchführung besonderer Maßnahmen der Bundesnetzagentur für Elektrizität, Gas, Telekommunikation, Post und Eisenbahnen (Bundesnetzagentur) zum Schutz von</w:t>
      </w:r>
    </w:p>
    <w:p>
      <w:pPr>
        <w:ind w:left="420"/>
      </w:pPr>
      <w:r>
        <w:t xml:space="preserve">1. Sende- und Empfangsfunkanlagen, die in definierten Frequenzbereichen zu Sicherheitszwecken betrieben werden, und</w:t>
      </w:r>
    </w:p>
    <w:p>
      <w:pPr>
        <w:ind w:left="420"/>
      </w:pPr>
      <w:r>
        <w:t xml:space="preserve">2. öffentlichen Telekommunikationsnetzen</w:t>
      </w:r>
    </w:p>
    <w:p>
      <w:r>
        <w:t xml:space="preserve">vor elektromagnetischen Störungen.</w:t>
      </w:r>
    </w:p>
    <w:p>
      <w:r>
        <w:rPr>
          <w:color w:val="555555"/>
          <w:sz w:val="17"/>
        </w:rPr>
        <w:t xml:space="preserve">Zitiervorschlag: § 1 SchuTSEV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https://recht.nulegal.eu/gesetze/SchuTSEV/1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