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SchuFV — Informationsverwendung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Daten aus der Einsichtnahme in das Schuldnerverzeichnis dürfen nur zu dem Zweck verarbeitet werden, für den sie übermittelt werden. Die Zweckbestimmung richtet sich nach § 5 in Verbindung mit § 6 Absatz 2 Satz 2.</w:t>
      </w:r>
    </w:p>
    <w:p>
      <w:r>
        <w:t xml:space="preserve">(2) Die Daten aus der Einsichtnahme in das Schuldnerverzeichnis sind zu löschen, sobald der Zweck erreicht wurde. Nichtöffentliche Stellen sind darauf bei der Übermittlung hinzuweisen.</w:t>
      </w:r>
    </w:p>
    <w:p>
      <w:r>
        <w:rPr>
          <w:color w:val="555555"/>
          <w:sz w:val="17"/>
        </w:rPr>
        <w:t xml:space="preserve">Zitiervorschlag: § 9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