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SchuFV — Einsichtnahme</w:t>
      </w:r>
    </w:p>
    <w:p>
      <w:r>
        <w:rPr>
          <w:color w:val="555555"/>
          <w:sz w:val="18"/>
        </w:rPr>
        <w:t xml:space="preserve">Schuldnerverzeichnisführungsverordnung</w:t>
      </w:r>
    </w:p>
    <w:p>
      <w:r>
        <w:rPr>
          <w:color w:val="555555"/>
          <w:sz w:val="18"/>
        </w:rPr>
        <w:t xml:space="preserve">Stand: 10.12.2019 (konsolidierte Textfassung, kein amtliches Inkrafttretensdatum)</w:t>
      </w:r>
    </w:p>
    <w:p>
      <w:r>
        <w:t xml:space="preserve">(1) Die Einsichtnahme in das Schuldnerverzeichnis erfolgt über ein zentrales und länderübergreifendes elektronisches Informations- und Kommunikationssystem der Länder im Internet.</w:t>
      </w:r>
    </w:p>
    <w:p>
      <w:r>
        <w:t xml:space="preserve">(2) Die Einsichtnahme in das Schuldnerverzeichnis wird nur registrierten Nutzern gewährt. Die jeweilige Einsichtnahme ist erst nach Darlegung des Verwendungszwecks nach § 5 Nummer 1 bis 7 zu ermöglichen.</w:t>
      </w:r>
    </w:p>
    <w:p>
      <w:r>
        <w:t xml:space="preserve">(3) Bei jeder Einsichtnahme ist der Abrufvorgang so zu protokollieren, dass feststellbar ist, ob das Datenverarbeitungssystem befugt genutzt worden ist. Zu protokollieren sind:</w:t>
      </w:r>
    </w:p>
    <w:p>
      <w:pPr>
        <w:ind w:left="420"/>
      </w:pPr>
      <w:r>
        <w:t xml:space="preserve">1. die zur Abfrage verwendeten Daten nach Absatz 2 Satz 2,</w:t>
      </w:r>
    </w:p>
    <w:p>
      <w:pPr>
        <w:ind w:left="420"/>
      </w:pPr>
      <w:r>
        <w:t xml:space="preserve">2. das Datum und die Uhrzeit der Einsichtnahme,</w:t>
      </w:r>
    </w:p>
    <w:p>
      <w:pPr>
        <w:ind w:left="420"/>
      </w:pPr>
      <w:r>
        <w:t xml:space="preserve">3. die Identität der abfragenden Person,</w:t>
      </w:r>
    </w:p>
    <w:p>
      <w:pPr>
        <w:ind w:left="420"/>
      </w:pPr>
      <w:r>
        <w:t xml:space="preserve">4. welche Datensätze nach § 3 Absatz 2 betroffen sind.</w:t>
      </w:r>
    </w:p>
    <w:p>
      <w:r>
        <w:t xml:space="preserve">Die protokollierten Daten nach Satz 2 dürfen nur zu Datenschutzzwecken, für gerichtliche Verfahren oder Strafverfahren verwendet werden.</w:t>
      </w:r>
    </w:p>
    <w:p>
      <w:r>
        <w:t xml:space="preserve">(4) Die gespeicherten Abrufprotokolle werden nach sechs Monaten gelöscht. Ausgenommen von der Löschung nach sechs Monaten sind gespeicherte Daten, die in einem eingeleiteten Verfahren zur Datenschutzaufsicht, einem gerichtlichen Verfahren oder Strafverfahren benötigt werden. Diese Daten sind nach dem endgültigen Abschluss dieser Verfahren zu löschen.</w:t>
      </w:r>
    </w:p>
    <w:p>
      <w:r>
        <w:rPr>
          <w:color w:val="555555"/>
          <w:sz w:val="17"/>
        </w:rPr>
        <w:t xml:space="preserve">Zitiervorschlag: § 6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