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SchuFV — Löschung von Eintragungen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zentrale Vollstreckungsgericht löscht eine Eintragung im Schuldnerverzeichnis nach dem Ablauf von drei Jahren seit dem Tag der Eintragungsanordnung.</w:t>
      </w:r>
    </w:p>
    <w:p>
      <w:r>
        <w:t xml:space="preserve">(2) Das zentrale Vollstreckungsgericht löscht eine Eintragung im Schuldnerverzeichnis außerdem, wenn</w:t>
      </w:r>
    </w:p>
    <w:p>
      <w:pPr>
        <w:ind w:left="420"/>
      </w:pPr>
      <w:r>
        <w:t xml:space="preserve">1. die vollständige Befriedigung des Gläubigers nachgewiesen ist,</w:t>
      </w:r>
    </w:p>
    <w:p>
      <w:pPr>
        <w:ind w:left="420"/>
      </w:pPr>
      <w:r>
        <w:t xml:space="preserve">2. das Fehlen oder der Wegfall des Eintragungsgrundes bekannt ist oder</w:t>
      </w:r>
    </w:p>
    <w:p>
      <w:pPr>
        <w:ind w:left="420"/>
      </w:pPr>
      <w:r>
        <w:t xml:space="preserve">3. die Ausfertigung einer vollstreckbaren Entscheidung vorgelegt wird, aus der sich ergibt, dass die Eintragungsanordnung aufgehoben oder einstweilen ausgesetzt ist.</w:t>
      </w:r>
    </w:p>
    <w:p>
      <w:r>
        <w:rPr>
          <w:color w:val="555555"/>
          <w:sz w:val="17"/>
        </w:rPr>
        <w:t xml:space="preserve">Zitiervorschlag: § 4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