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SchuFV — Vollziehung von Eintragungsanordnungen</w:t>
      </w:r>
    </w:p>
    <w:p>
      <w:r>
        <w:rPr>
          <w:color w:val="555555"/>
          <w:sz w:val="18"/>
        </w:rPr>
        <w:t xml:space="preserve">Schuldnerverzeichnisführungsverordnung</w:t>
      </w:r>
    </w:p>
    <w:p>
      <w:r>
        <w:rPr>
          <w:color w:val="555555"/>
          <w:sz w:val="18"/>
        </w:rPr>
        <w:t xml:space="preserve">Stand: 10.06.2019 (konsolidierte Textfassung, kein amtliches Inkrafttretensdatum)</w:t>
      </w:r>
    </w:p>
    <w:p>
      <w:r>
        <w:t xml:space="preserve">(1) Das zentrale Vollstreckungsgericht prüft elektronisch übermittelte Eintragungsanordnungen daraufhin, ob die elektronische Übermittlung die Anforderungen des § 2 Absatz 2 und 3 erfüllt. Das Ergebnis der Prüfung ist zu protokollieren.</w:t>
      </w:r>
    </w:p>
    <w:p>
      <w:r>
        <w:t xml:space="preserve">(2) Erfüllt die elektronische Übermittlung der Eintragungsanordnung die Anforderungen des § 2 Absatz 2 und 3, trägt das zentrale Vollstreckungsgericht die in § 882b Absatz 2 und 3 der Zivilprozessordnung angegebenen Daten in das Schuldnerverzeichnis ein. Das zentrale Vollstreckungsgericht informiert den Einsender unverzüglich über die Eintragung.</w:t>
      </w:r>
    </w:p>
    <w:p>
      <w:r>
        <w:t xml:space="preserve">(3) Erfüllt die elektronische Übermittlung der Eintragungsanordnung die Anforderungen des § 2 Absatz 2 und 3 nicht, trägt das zentrale Vollstreckungsgericht die in § 882b Absatz 2 und 3 der Zivilprozessordnung angegebenen Daten nicht in das Schuldnerverzeichnis ein und teilt dem Einsender dies unter Angabe der Gründe mit. Der Einsender veranlasst eine erneute elektronische Übermittlung einer Eintragungsanordnung, die den Anforderungen des § 2 Absatz 2 und 3 entspricht.</w:t>
      </w:r>
    </w:p>
    <w:p>
      <w:r>
        <w:t xml:space="preserve">(4) Die Absätze 1 bis 3 gelten entsprechend für die elektronische Übermittlung von Entscheidungen im Sinne des § 882h Absatz 3 Satz 1 der Zivilprozessordnung.</w:t>
      </w:r>
    </w:p>
    <w:p>
      <w:r>
        <w:rPr>
          <w:color w:val="555555"/>
          <w:sz w:val="17"/>
        </w:rPr>
        <w:t xml:space="preserve">Zitiervorschlag: § 3 SchuFV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