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SchuFV — Übermittlung von Eintragungsanordnungen und Entscheidungen</w:t>
      </w:r>
    </w:p>
    <w:p>
      <w:r>
        <w:rPr>
          <w:color w:val="555555"/>
          <w:sz w:val="18"/>
        </w:rPr>
        <w:t xml:space="preserve">Schuldnerverzeichnisführungsverordnung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Eintragungsanordnung erfolgt durch die in § 882b Absatz 1 Nummer 1 bis 3 der Zivilprozessordnung genannten Stellen. Die Eintragungsanordnung ist dem zentralen Vollstreckungsgericht elektronisch zu übermitteln. Die Übermittlung der Daten erfolgt bundesweit einheitlich durch ein geeignetes Transportprotokoll sowie in einheitlich strukturierten Datensätzen.</w:t>
      </w:r>
    </w:p>
    <w:p>
      <w:r>
        <w:t xml:space="preserve">(2) Bei der Datenübermittlung an das zentrale Vollstreckungsgericht und bei der Weitergabe an eine andere Stelle im Sinne des § 882h Absatz 2 der Zivilprozessordnung sind geeignete technische und organisatorische Maßnahmen zur Sicherstellung von Datenschutz und Datensicherheit zu treffen, die insbesondere gewährleisten, dass</w:t>
      </w:r>
    </w:p>
    <w:p>
      <w:pPr>
        <w:ind w:left="420"/>
      </w:pPr>
      <w:r>
        <w:t xml:space="preserve">1. nur Befugte personenbezogene Daten zur Kenntnis nehmen können (Vertraulichkeit),</w:t>
      </w:r>
    </w:p>
    <w:p>
      <w:pPr>
        <w:ind w:left="420"/>
      </w:pPr>
      <w:r>
        <w:t xml:space="preserve">2. personenbezogene Daten während der Verarbeitung unversehrt, vollständig und aktuell bleiben (Integrität),</w:t>
      </w:r>
    </w:p>
    <w:p>
      <w:pPr>
        <w:ind w:left="420"/>
      </w:pPr>
      <w:r>
        <w:t xml:space="preserve">3. personenbezogene Daten zeitgerecht zur Verfügung stehen und ordnungsgemäß verarbeitet werden können (Verfügbarkeit),</w:t>
      </w:r>
    </w:p>
    <w:p>
      <w:pPr>
        <w:ind w:left="420"/>
      </w:pPr>
      <w:r>
        <w:t xml:space="preserve">4. personenbezogene Daten jederzeit ihrem Ursprung zugeordnet werden können (Authentizität),</w:t>
      </w:r>
    </w:p>
    <w:p>
      <w:pPr>
        <w:ind w:left="420"/>
      </w:pPr>
      <w:r>
        <w:t xml:space="preserve">5. festgestellt werden kann, wer wann welche personenbezogenen Daten in welcher Weise verarbeitet hat (Revisionsfähigkeit), und</w:t>
      </w:r>
    </w:p>
    <w:p>
      <w:pPr>
        <w:ind w:left="420"/>
      </w:pPr>
      <w:r>
        <w:t xml:space="preserve">6. die Verfahrensweisen bei der Verarbeitung personenbezogener Daten vollständig, aktuell und in einer Weise dokumentiert sind, dass sie in zumutbarer Zeit nachvollzogen werden können (Transparenz).</w:t>
      </w:r>
    </w:p>
    <w:p>
      <w:r>
        <w:t xml:space="preserve">Werden zur Übermittlung öffentliche Telekommunikationsnetze genutzt, ist ein geeignetes Verschlüsselungsverfahren zu verwenden.</w:t>
      </w:r>
    </w:p>
    <w:p>
      <w:r>
        <w:t xml:space="preserve">(3) Vor der elektronischen Übermittlung von Eintragungsanordnungen ist durch geeignete technische Maßnahmen zu gewährleisten, dass überprüfbar ist, wer die Daten übermittelt und empfängt.</w:t>
      </w:r>
    </w:p>
    <w:p>
      <w:r>
        <w:t xml:space="preserve">(4) Absatz 1 Satz 2 und 3 sowie die Absätze 2 und 3 gelten entsprechend für die elektronische Übermittlung von Entscheidungen im Sinne des § 882h Absatz 3 Satz 1 der Zivilprozessordnung.</w:t>
      </w:r>
    </w:p>
    <w:p>
      <w:r>
        <w:rPr>
          <w:color w:val="555555"/>
          <w:sz w:val="17"/>
        </w:rPr>
        <w:t xml:space="preserve">Zitiervorschlag: § 2 SchuFV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https://recht.nulegal.eu/gesetze/SchuFV/2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