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SchuFV — Inkrafttreten, Außerkrafttreten</w:t>
      </w:r>
    </w:p>
    <w:p>
      <w:r>
        <w:rPr>
          <w:color w:val="555555"/>
          <w:sz w:val="18"/>
        </w:rPr>
        <w:t xml:space="preserve">Schuldnerverzeichnisführungsverordnung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Januar 2013 in Kraft.</w:t>
      </w:r>
    </w:p>
    <w:p>
      <w:r>
        <w:t xml:space="preserve">(2) Die Schuldnerverzeichnisverordnung vom 15. Dezember 1994 (BGBl. I S. 3822), die zuletzt durch Artikel 3 des Gesetzes vom 13. Dezember 2001 (BGBl. I S. 3638) geändert worden ist, tritt am 31. Dezember 2017 außer Kraft.</w:t>
      </w:r>
    </w:p>
    <w:p>
      <w:r>
        <w:rPr>
          <w:color w:val="555555"/>
          <w:sz w:val="17"/>
        </w:rPr>
        <w:t xml:space="preserve">Zitiervorschlag: § 13 SchuFV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https://recht.nulegal.eu/gesetze/SchuFV/13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