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SchuFV — Rechtsweg</w:t>
      </w:r>
    </w:p>
    <w:p>
      <w:r>
        <w:rPr>
          <w:color w:val="555555"/>
          <w:sz w:val="18"/>
        </w:rPr>
        <w:t xml:space="preserve">Schuldnerverzeichnisführungsverordnung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Entscheidungen des zentralen Vollstreckungsgerichts sind, soweit es sich um Angelegenheiten der Justizverwaltungen im Sinne des § 882h Absatz 2 Satz 3 der Zivilprozessordnung handelt, die §§ 23 bis 30 des Einführungsgesetzes zum Gerichtsverfassungsgesetz anzuwenden.</w:t>
      </w:r>
    </w:p>
    <w:p>
      <w:r>
        <w:rPr>
          <w:color w:val="555555"/>
          <w:sz w:val="17"/>
        </w:rPr>
        <w:t xml:space="preserve">Zitiervorschlag: § 12 SchuFV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https://recht.nulegal.eu/gesetze/SchuFV/12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