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SchuFV — Zugang zur Einsicht in das Schuldnerverzeichnis</w:t>
      </w:r>
    </w:p>
    <w:p>
      <w:r>
        <w:rPr>
          <w:color w:val="555555"/>
          <w:sz w:val="18"/>
        </w:rPr>
        <w:t xml:space="preserve">Schuldnerverzeichnisführungsverordnung</w:t>
      </w:r>
    </w:p>
    <w:p>
      <w:r>
        <w:rPr>
          <w:color w:val="555555"/>
          <w:sz w:val="18"/>
        </w:rPr>
        <w:t xml:space="preserve">Stand: 10.06.2019 (konsolidierte Textfassung, kein amtliches Inkrafttretensdatum)</w:t>
      </w:r>
    </w:p>
    <w:p>
      <w:r>
        <w:t xml:space="preserve">(1) Die Landesregierungen stellen sicher, dass nach § 5 Einsichtsberechtigte eine Registrierung nach § 7 Absatz 5 bei jedem Amtsgericht veranlassen können.</w:t>
      </w:r>
    </w:p>
    <w:p>
      <w:r>
        <w:t xml:space="preserve">(2) Die Landesregierungen ermöglichen durch geeignete technische und organisatorische Maßnahmen, dass registrierte Nutzer in jedem Amtsgericht Einsicht in das elektronische Schuldnerverzeichnis nehmen können. Die Einsichtsberechtigten können verlangen, dass ihnen ein Ausdruck ihrer Datenabfrage überlassen wird.</w:t>
      </w:r>
    </w:p>
    <w:p>
      <w:r>
        <w:rPr>
          <w:color w:val="555555"/>
          <w:sz w:val="17"/>
        </w:rPr>
        <w:t xml:space="preserve">Zitiervorschlag: § 11 SchuFV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https://recht.nulegal.eu/gesetze/SchuFV/11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