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SchriSeMstrV — Übergangsvorschrift</w:t>
      </w:r>
    </w:p>
    <w:p>
      <w:r>
        <w:rPr>
          <w:color w:val="555555"/>
          <w:sz w:val="18"/>
        </w:rPr>
        <w:t xml:space="preserve">Schriftsetzermeisterverordnung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bei Inkrafttreten dieser Verordnung laufenden Prüfungsverfahren werden nach den bisherigen Vorschriften zu Ende geführt.</w:t>
      </w:r>
    </w:p>
    <w:p>
      <w:r>
        <w:rPr>
          <w:color w:val="555555"/>
          <w:sz w:val="17"/>
        </w:rPr>
        <w:t xml:space="preserve">Zitiervorschlag: § 6 SchriSeMstrV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https://recht.nulegal.eu/gesetze/SchriSeMstrV/6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