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SchriSeMstrV — Meisterprüfungsarbeit</w:t>
      </w:r>
    </w:p>
    <w:p>
      <w:r>
        <w:rPr>
          <w:color w:val="555555"/>
          <w:sz w:val="18"/>
        </w:rPr>
        <w:t xml:space="preserve">Schriftsetzermeisterverordnung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zwei der nachstehend genannten Arbeiten, davon in jedem Fall die nach Nummer 1, anzufertigen:</w:t>
      </w:r>
    </w:p>
    <w:p>
      <w:pPr>
        <w:ind w:left="420"/>
      </w:pPr>
      <w:r>
        <w:t xml:space="preserve">1. eine mindestens 4seitige mehrfarbige Akzidenzarbeit mit Text und Bild im Format DIN A 4 nach eigenem Entwurf,</w:t>
      </w:r>
    </w:p>
    <w:p>
      <w:pPr>
        <w:ind w:left="420"/>
      </w:pPr>
      <w:r>
        <w:t xml:space="preserve">2. ein mindestens 8seitiger Titelbogen nach eigenem Entwurf,</w:t>
      </w:r>
    </w:p>
    <w:p>
      <w:pPr>
        <w:ind w:left="420"/>
      </w:pPr>
      <w:r>
        <w:t xml:space="preserve">3. eine mindestens 3teilige mehrfarbige Geschäfts-Drucksachenserie nach eigenem Entwurf.</w:t>
      </w:r>
    </w:p>
    <w:p>
      <w:r>
        <w:t xml:space="preserve">(2) Der Prüfling hat vor Anfertigung der Meisterprüfungsarbeit dem Meisterprüfungsausschuß eine Entwurfsskizze zur Genehmigung vorzulegen.</w:t>
      </w:r>
    </w:p>
    <w:p>
      <w:r>
        <w:t xml:space="preserve">(3) Die Entwurfsskizzen sind bei der Bewertung der Meisterprüfungsarbeit zu berücksichtigen.</w:t>
      </w:r>
    </w:p>
    <w:p>
      <w:r>
        <w:rPr>
          <w:color w:val="555555"/>
          <w:sz w:val="17"/>
        </w:rPr>
        <w:t xml:space="preserve">Zitiervorschlag: § 3 SchriSeMstrV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https://recht.nulegal.eu/gesetze/SchriSeMstrV/3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