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3 SchrZAbkG — Schlußvorschriften</w:t>
      </w:r>
    </w:p>
    <w:p>
      <w:r>
        <w:rPr>
          <w:color w:val="555555"/>
          <w:sz w:val="18"/>
        </w:rPr>
        <w:t xml:space="preserve">Schriftzeichengesetz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Tage nach seiner Verkündung in Kraft. Jedoch tritt Artikel 2 an dem Tage in Kraft, an dem das in Artikel 1 genannte Abkommen nach seinem Artikel 35 für die Bundesrepublik Deutschland in Kraft tritt.</w:t>
      </w:r>
    </w:p>
    <w:p>
      <w:r>
        <w:t xml:space="preserve">(2) Der Tag, an dem das in Artikel 1 genannte Abkommen nach seinem Artikel 35 für die Bundesrepublik Deutschland in Kraft tritt, ist im Bundesgesetzblatt bekanntzugeben.</w:t>
      </w:r>
    </w:p>
    <w:p>
      <w:r>
        <w:rPr>
          <w:color w:val="555555"/>
          <w:sz w:val="17"/>
        </w:rPr>
        <w:t xml:space="preserve">Zitiervorschlag: Art 3 SchrZAbkG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https://recht.nulegal.eu/gesetze/SchrZAbkG/3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3 SchrZAbkG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