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SchoMstrV 2016</w:t>
      </w:r>
    </w:p>
    <w:p>
      <w:r>
        <w:rPr>
          <w:color w:val="555555"/>
          <w:sz w:val="18"/>
        </w:rPr>
        <w:t xml:space="preserve">Schornsteinfegermeisterverordnung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45 Absatz 1 der Handwerksordnung, der zuletzt durch Artikel 283 der Verordnung vom 31. August 2015 (BGBl. I S. 1474) geändert worden ist, verordnet das Bundesministerium für Wirtschaft und Energie im Einvernehmen mit dem Bundesministerium für Bildung und Forschung:</w:t>
      </w:r>
    </w:p>
    <w:p>
      <w:r>
        <w:rPr>
          <w:color w:val="555555"/>
          <w:sz w:val="17"/>
        </w:rPr>
        <w:t xml:space="preserve">Zitiervorschlag: Eingangsformel SchoMstrV 2016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https://recht.nulegal.eu/gesetze/SchoMstrV%202016/eingangsformel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