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SchoMstrV 2016 — Situationsaufgabe</w:t>
      </w:r>
    </w:p>
    <w:p>
      <w:r>
        <w:rPr>
          <w:color w:val="555555"/>
          <w:sz w:val="18"/>
        </w:rPr>
        <w:t xml:space="preserve">Schornsteinfegermeisterverordnung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Nachweis der beruflichen Handlungskompetenz für die Meisterprüfung im Schornsteinfeger-Handwerk.</w:t>
      </w:r>
    </w:p>
    <w:p>
      <w:r>
        <w:t xml:space="preserve">(2) Als Situationsaufgabe sind für einen vom Meisterprüfungsausschuss vorgegebenen Auftrag nachfolgende Arbeiten auszuführen:</w:t>
      </w:r>
    </w:p>
    <w:p>
      <w:pPr>
        <w:ind w:left="420"/>
      </w:pPr>
      <w:r>
        <w:t xml:space="preserve">1. eine Feuerstättenschau durchführen,</w:t>
      </w:r>
    </w:p>
    <w:p>
      <w:pPr>
        <w:ind w:left="420"/>
      </w:pPr>
      <w:r>
        <w:t xml:space="preserve">2. Tauglichkeit und sichere Benutzbarkeit einer Abgasanlage und einer Leitung zur Abführung von Verbrennungsgasen feststellen und dokumentieren,</w:t>
      </w:r>
    </w:p>
    <w:p>
      <w:pPr>
        <w:ind w:left="420"/>
      </w:pPr>
      <w:r>
        <w:t xml:space="preserve">3. eine Feuerungs- oder Lüftungsanlage oder eine sonstige Einrichtung überprüfen, messen und Reinigungsmaßnahmen festlegen; die Prüf- und Messergebnisse dokumentieren,</w:t>
      </w:r>
    </w:p>
    <w:p>
      <w:pPr>
        <w:ind w:left="420"/>
      </w:pPr>
      <w:r>
        <w:t xml:space="preserve">4. Mängel an baulichen und technischen Anlagen erkennen, beurteilen und dokumentieren sowie erforderliche Maßnahmen durchführen,</w:t>
      </w:r>
    </w:p>
    <w:p>
      <w:pPr>
        <w:ind w:left="420"/>
      </w:pPr>
      <w:r>
        <w:t xml:space="preserve">5. eine Feuerungs- oder Lüftungsanlage oder eine sonstige Einrichtung gesamtenergetisch bewerten und Maßnahmen zur bedarfsgerechten Effizienzsteigerung einleiten.</w:t>
      </w:r>
    </w:p>
    <w:p>
      <w:r>
        <w:t xml:space="preserve">(3) Für die Gesamtbewertung der Situationsaufgabe wird das arithmetische Mittel aus den Einzelbewertungen nach Absatz 2 gebildet.</w:t>
      </w:r>
    </w:p>
    <w:p>
      <w:r>
        <w:rPr>
          <w:color w:val="555555"/>
          <w:sz w:val="17"/>
        </w:rPr>
        <w:t xml:space="preserve">Zitiervorschlag: § 6 SchoMstrV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https://recht.nulegal.eu/gesetze/SchoMstrV%202016/6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