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SchoMstrV 2016 — Inkrafttreten, Außerkrafttreten</w:t>
      </w:r>
    </w:p>
    <w:p>
      <w:r>
        <w:rPr>
          <w:color w:val="555555"/>
          <w:sz w:val="18"/>
        </w:rPr>
        <w:t xml:space="preserve">Schornsteinfegermeisterverordnung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Januar 2016 in Kraft. Gleichzeitig tritt die Schornsteinfegermeisterverordnung vom 25. Juni 1984 (BGBl. I S. 771) außer Kraft.</w:t>
      </w:r>
    </w:p>
    <w:p>
      <w:r>
        <w:rPr>
          <w:color w:val="555555"/>
          <w:sz w:val="17"/>
        </w:rPr>
        <w:t xml:space="preserve">Zitiervorschlag: § 12 SchoMstrV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https://recht.nulegal.eu/gesetze/SchoMstrV%202016/12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