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SchnellLG — Beleihung</w:t>
      </w:r>
    </w:p>
    <w:p>
      <w:r>
        <w:rPr>
          <w:color w:val="555555"/>
          <w:sz w:val="18"/>
        </w:rPr>
        <w:t xml:space="preserve">Schnellladegesetz</w:t>
      </w:r>
    </w:p>
    <w:p>
      <w:r>
        <w:rPr>
          <w:color w:val="555555"/>
          <w:sz w:val="18"/>
        </w:rPr>
        <w:t xml:space="preserve">Stand: 01.07.2021 (konsolidierte Textfassung, kein amtliches Inkrafttretensdatum)</w:t>
      </w:r>
    </w:p>
    <w:p>
      <w:r>
        <w:t xml:space="preserve">Das Bundesministerium für Verkehr und digitale Infrastruktur kann juristischen Personen des privaten Rechts mit ihrem Einverständnis die Befugnis verleihen, Verwaltungsaufgaben nach diesem Gesetz in eigenem Namen und in den Handlungsformen des öffentlichen Rechts wahrzunehmen, wenn sie die Gewähr für eine sachgerechte Erfüllung der ihnen übertragenen Aufgaben bieten und die Beleihung im öffentlichen Interesse liegt. Die Verleihung und die Entziehung der Befugnis obliegen dem Bundesministerium für Verkehr und digitale Infrastruktur; im Falle der Verleihung ist das Bundesministerium der Finanzen zu unterrichten. Die Beliehene unterliegt der Aufsicht des Bundesministeriums für Verkehr und digitale Infrastruktur; dieses kann die Aufsicht auf nachgeordnete Behörden übertragen. Im Falle der Staatshaftung wegen Ansprüchen Dritter kann der Bund gegenüber einer beliehenen juristischen Person des Privatrechts bei Vorliegen von Vorsatz oder grober Fahrlässigkeit Rückgriff nehmen.</w:t>
      </w:r>
    </w:p>
    <w:p>
      <w:r>
        <w:rPr>
          <w:color w:val="555555"/>
          <w:sz w:val="17"/>
        </w:rPr>
        <w:t xml:space="preserve">Zitiervorschlag: § 8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