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SchnellLG — Besondere Bedeutung der Errichtung und des Betriebs von Schnellladeinfrastruktur</w:t>
      </w:r>
    </w:p>
    <w:p>
      <w:r>
        <w:rPr>
          <w:color w:val="555555"/>
          <w:sz w:val="18"/>
        </w:rPr>
        <w:t xml:space="preserve">Schnellladegesetz</w:t>
      </w:r>
    </w:p>
    <w:p>
      <w:r>
        <w:rPr>
          <w:color w:val="555555"/>
          <w:sz w:val="18"/>
        </w:rPr>
        <w:t xml:space="preserve">Stand: 04.01.2024 (konsolidierte Textfassung, kein amtliches Inkrafttretensdatum)</w:t>
      </w:r>
    </w:p>
    <w:p>
      <w:r>
        <w:t xml:space="preserve">Die Errichtung und der Betrieb von Schnellladepunkten und Schnellladestandorten an Bundesfernstraßen liegt im überragenden öffentlichen Interesse, solange und soweit eine bedarfsdeckende Ausstattung noch nicht erreicht ist. Das Bundesministerium für Digitales und Verkehr gibt den Zeitpunkt, zu dem die bedarfsdeckende Ausstattung mit Schnellladepunkten und Schnellladestandorten erreicht ist, im Bundesanzeiger bekannt.</w:t>
      </w:r>
    </w:p>
    <w:p>
      <w:r>
        <w:rPr>
          <w:color w:val="555555"/>
          <w:sz w:val="17"/>
        </w:rPr>
        <w:t xml:space="preserve">Zitiervorschlag: § 1a SchnellLG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https://recht.nulegal.eu/gesetze/SchnellLG/1a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