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SchneidwMechMstrV — Gegenstand</w:t>
      </w:r>
    </w:p>
    <w:p>
      <w:r>
        <w:rPr>
          <w:color w:val="555555"/>
          <w:sz w:val="18"/>
        </w:rPr>
        <w:t xml:space="preserve">Präzisionswerkzeugmechanikermeisterverordnung</w:t>
      </w:r>
    </w:p>
    <w:p>
      <w:r>
        <w:rPr>
          <w:color w:val="555555"/>
          <w:sz w:val="18"/>
        </w:rPr>
        <w:t xml:space="preserve">Stand: 02.12.2021 (konsolidierte Textfassung, kein amtliches Inkrafttretensdatum)</w:t>
      </w:r>
    </w:p>
    <w:p>
      <w:r>
        <w:t xml:space="preserve">Die Meisterprüfung besteht aus vier selbstständigen Prüfungsteilen. Diese Verordnung regelt das Meisterprüfungsberufsbild sowie die Prüfung in den Teilen I und II der Meisterprüfung im Präzisionswerkzeugmechaniker-Handwerk.</w:t>
      </w:r>
    </w:p>
    <w:p>
      <w:r>
        <w:rPr>
          <w:color w:val="555555"/>
          <w:sz w:val="17"/>
        </w:rPr>
        <w:t xml:space="preserve">Zitiervorschlag: § 1 SchneidwMechMstrV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https://recht.nulegal.eu/gesetze/SchneidwMechMstrV/1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