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SchlussFinG — Inkrafttreten</w:t>
      </w:r>
    </w:p>
    <w:p>
      <w:r>
        <w:rPr>
          <w:color w:val="555555"/>
          <w:sz w:val="18"/>
        </w:rPr>
        <w:t xml:space="preserve">Schlusszahlungsfinanzierungsgesetz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 nach der Verkündung in Kraft.</w:t>
      </w:r>
    </w:p>
    <w:p>
      <w:r>
        <w:rPr>
          <w:color w:val="555555"/>
          <w:sz w:val="17"/>
        </w:rPr>
        <w:t xml:space="preserve">Zitiervorschlag: § 7 SchlussFinG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https://recht.nulegal.eu/gesetze/SchlussFinG/7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