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SchlussFinG — Rechnungslegung</w:t>
      </w:r>
    </w:p>
    <w:p>
      <w:r>
        <w:rPr>
          <w:color w:val="555555"/>
          <w:sz w:val="18"/>
        </w:rPr>
        <w:t xml:space="preserve">Schlusszahlungsfinanzierungsgesetz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der Finanzen legt jährlich zum Stichtag 31. Dezember Rechnung über die Einnahmen und Ausgaben des Sondervermögens. Die Rechnung ist als Übersicht der Haushaltsrechnung des Bundes beizufügen.</w:t>
      </w:r>
    </w:p>
    <w:p>
      <w:r>
        <w:rPr>
          <w:color w:val="555555"/>
          <w:sz w:val="17"/>
        </w:rPr>
        <w:t xml:space="preserve">Zitiervorschlag: § 6 SchlussFinG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https://recht.nulegal.eu/gesetze/SchlussFinG/6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