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SchlussFinG — Haushalt</w:t>
      </w:r>
    </w:p>
    <w:p>
      <w:r>
        <w:rPr>
          <w:color w:val="555555"/>
          <w:sz w:val="18"/>
        </w:rPr>
        <w:t xml:space="preserve">Schlusszahlungsfinanzierungsgesetz</w:t>
      </w:r>
    </w:p>
    <w:p>
      <w:r>
        <w:rPr>
          <w:color w:val="555555"/>
          <w:sz w:val="18"/>
        </w:rPr>
        <w:t xml:space="preserve">Stand: 10.06.2019 (konsolidierte Textfassung, kein amtliches Inkrafttretensdatum)</w:t>
      </w:r>
    </w:p>
    <w:p>
      <w:r>
        <w:t xml:space="preserve">Die geplanten Einnahmen und Ausgaben des Sondervermögens werden in einer Übersicht aufgeführt, die dem Bundeshaushaltsplan als Anlage beizufügen ist. Die dem Sondervermögen zugeführten Beträge verbleiben bis zur Auszahlung an die Wertpapiergläubiger unverzinst im Kassenbereich des Bundes. Eine Kreditaufnahme durch das Sondervermögen ist nicht zulässig. Einnahmen aus der Kreditaufnahme des Bundes dürfen im Rahmen des Abschlusses des jeweiligen Haushaltsjahres (§ 76 der Bundeshaushaltsordnung) in Höhe der dem Sondervermögen in den Vorjahren zugeführten und noch nicht ausgezahlten Beträge in das abzuschließende Haushaltsjahr umgebucht werden.</w:t>
      </w:r>
    </w:p>
    <w:p>
      <w:r>
        <w:rPr>
          <w:color w:val="555555"/>
          <w:sz w:val="17"/>
        </w:rPr>
        <w:t xml:space="preserve">Zitiervorschlag: § 5 SchlussFinG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https://recht.nulegal.eu/gesetze/SchlussFinG/5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