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SchlussFinG — Stellung im Rechtsverkehr</w:t>
      </w:r>
    </w:p>
    <w:p>
      <w:r>
        <w:rPr>
          <w:color w:val="555555"/>
          <w:sz w:val="18"/>
        </w:rPr>
        <w:t xml:space="preserve">Schlusszahlungsfinanzierungsgesetz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Sondervermögen ist nicht rechtsfähig. Das Bundesministerium der Finanzen verwaltet das Sondervermögen.</w:t>
      </w:r>
    </w:p>
    <w:p>
      <w:r>
        <w:rPr>
          <w:color w:val="555555"/>
          <w:sz w:val="17"/>
        </w:rPr>
        <w:t xml:space="preserve">Zitiervorschlag: § 3 SchlussFinG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https://recht.nulegal.eu/gesetze/SchlussFinG/3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