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SchlussFinG — Zweck des Sondervermögens</w:t>
      </w:r>
    </w:p>
    <w:p>
      <w:r>
        <w:rPr>
          <w:color w:val="555555"/>
          <w:sz w:val="18"/>
        </w:rPr>
        <w:t xml:space="preserve">Schlusszahlungsfinanzierungsgesetz</w:t>
      </w:r>
    </w:p>
    <w:p>
      <w:r>
        <w:rPr>
          <w:color w:val="555555"/>
          <w:sz w:val="18"/>
        </w:rPr>
        <w:t xml:space="preserve">Stand: 03.10.2025 (konsolidierte Textfassung, kein amtliches Inkrafttretensdatum)</w:t>
      </w:r>
    </w:p>
    <w:p>
      <w:r>
        <w:t xml:space="preserve">Mit der Errichtung des Sondervermögens soll durch Zuführung von Mitteln aus dem Bundeshaushalt Vorsorge für die Inflationsentwicklung während der Laufzeit von inflationsindexierten Bundeswertpapieren getroffen werden. Bei Fälligkeit eines inflationsindexierten Bundeswertpapiers wird aus dem Sondervermögen derjenige Betrag gezahlt, um den der Rückzahlungsbetrag für die nicht im Eigenbestand des Bundes befindlichen Anteile des Papiers den entsprechenden Nennwert übersteigt. Dieser Betrag wird nachfolgend als Schlusszahlung bezeichnet.</w:t>
      </w:r>
    </w:p>
    <w:p>
      <w:r>
        <w:rPr>
          <w:color w:val="555555"/>
          <w:sz w:val="17"/>
        </w:rPr>
        <w:t xml:space="preserve">Zitiervorschlag: § 2 SchlussFinG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https://recht.nulegal.eu/gesetze/SchlussFinG/2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