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SchleusV</w:t>
      </w:r>
    </w:p>
    <w:p>
      <w:r>
        <w:rPr>
          <w:color w:val="555555"/>
          <w:sz w:val="18"/>
        </w:rPr>
        <w:t xml:space="preserve">Schleusenbetriebsverordnung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Nr. 1 des Bundeswasserstraßengesetzes (WaStrG) in der Fassung der Bekanntmachung vom 4. November 1998 (BGBl. I S. 3294), geändert durch Artikel 12 des Gesetzes vom 25. August 1998 (BGBl. I S. 2489), in Verbindung mit § 1 der Verordnung zur Übertragung der Ermächtigung zum Erlass von Rechtsverordnungen nach dem Bundeswasserstraßengesetz über die Regelung des Betriebs von Anlagen vom 31. März 1970 (BGBl. I S. 315) verordnet die Wasser- und Schifffahrtsdirektion Nord:</w:t>
      </w:r>
    </w:p>
    <w:p>
      <w:r>
        <w:rPr>
          <w:color w:val="555555"/>
          <w:sz w:val="17"/>
        </w:rPr>
        <w:t xml:space="preserve">Zitiervorschlag: Eingangsformel SchleusV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https://recht.nulegal.eu/gesetze/SchleusV/eingangsformel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