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3a SchleusV — Belegung der Schleusen am Nord-Ostsee-Kanal mit Fahrgastschiffen und Tankfahrzeugen zu gleicher Zeit</w:t>
      </w:r>
    </w:p>
    <w:p>
      <w:r>
        <w:rPr>
          <w:color w:val="555555"/>
          <w:sz w:val="18"/>
        </w:rPr>
        <w:t xml:space="preserve">Schleusenbetriebsverordnung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Fahrgastschiff darf nur dann zusammen mit einem Öl-, Gas- oder Chemikalientankschiff in einer Kammer geschleust werden, wenn das Tankschiff gereinigt und entgast ist und keine gefährlichen Güter im Sinne des § 2 Absatz 1 Nummer 16 der Seeschifffahrtsstraßen-Ordnung befördert.</w:t>
      </w:r>
    </w:p>
    <w:p>
      <w:r>
        <w:t xml:space="preserve">(2) Bei gleichzeitiger Schleusung eines Fahrgastschiffes und eines Tankschiffes in unterschiedlichen Kammern dürfen das Fahrgastschiff und Tankschiff nicht zugleich an die Mittelmauer gelegt werden.</w:t>
      </w:r>
    </w:p>
    <w:p>
      <w:r>
        <w:rPr>
          <w:color w:val="555555"/>
          <w:sz w:val="17"/>
        </w:rPr>
        <w:t xml:space="preserve">Zitiervorschlag: § 3a SchleusV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https://recht.nulegal.eu/gesetze/SchleusV/3a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